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67B2" w14:textId="41F68D33"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w:t>
      </w:r>
      <w:r w:rsidR="00C825A0">
        <w:rPr>
          <w:rFonts w:ascii="Times New Roman" w:hAnsi="Times New Roman"/>
          <w:sz w:val="22"/>
        </w:rPr>
        <w:t xml:space="preserve"> </w:t>
      </w:r>
      <w:r w:rsidR="00F979EA">
        <w:rPr>
          <w:rFonts w:ascii="Times New Roman" w:hAnsi="Times New Roman"/>
          <w:sz w:val="22"/>
        </w:rPr>
        <w:t>11</w:t>
      </w:r>
      <w:r w:rsidR="00F709CA">
        <w:rPr>
          <w:rFonts w:ascii="Times New Roman" w:hAnsi="Times New Roman"/>
          <w:sz w:val="22"/>
        </w:rPr>
        <w:t>/</w:t>
      </w:r>
      <w:r w:rsidR="00F979EA">
        <w:rPr>
          <w:rFonts w:ascii="Times New Roman" w:hAnsi="Times New Roman"/>
          <w:sz w:val="22"/>
        </w:rPr>
        <w:t>16</w:t>
      </w:r>
      <w:r w:rsidR="00005FC8">
        <w:rPr>
          <w:rFonts w:ascii="Times New Roman" w:hAnsi="Times New Roman"/>
          <w:sz w:val="22"/>
        </w:rPr>
        <w:t>/1</w:t>
      </w:r>
      <w:r w:rsidR="00A14237">
        <w:rPr>
          <w:rFonts w:ascii="Times New Roman" w:hAnsi="Times New Roman"/>
          <w:sz w:val="22"/>
        </w:rPr>
        <w:t>8</w:t>
      </w:r>
    </w:p>
    <w:p w14:paraId="113EE3F2" w14:textId="389CB610" w:rsidR="000D5648" w:rsidRPr="00C1211E" w:rsidRDefault="00D30DB7" w:rsidP="00EE79AB">
      <w:pPr>
        <w:pStyle w:val="SectionNumber"/>
        <w:rPr>
          <w:rStyle w:val="PageNumber"/>
        </w:rPr>
      </w:pPr>
      <w:r w:rsidRPr="00C1211E">
        <w:rPr>
          <w:rStyle w:val="PageNumber"/>
        </w:rPr>
        <w:t xml:space="preserve">SECTION </w:t>
      </w:r>
      <w:r w:rsidR="00B90CC5">
        <w:t>26 27 26</w:t>
      </w:r>
    </w:p>
    <w:p w14:paraId="34BB6AF2" w14:textId="0CDEC79F" w:rsidR="00C1211E" w:rsidRPr="00B90CC5" w:rsidRDefault="00B90CC5" w:rsidP="00B90CC5">
      <w:pPr>
        <w:pStyle w:val="SectionTitle"/>
      </w:pPr>
      <w:r>
        <w:t>WIRING DEVICES</w:t>
      </w:r>
    </w:p>
    <w:p w14:paraId="1D73066C" w14:textId="77777777" w:rsidR="00BD4AE0" w:rsidRPr="00C1211E" w:rsidRDefault="00BD4AE0" w:rsidP="007D7942">
      <w:pPr>
        <w:pStyle w:val="PartDesignation"/>
      </w:pPr>
      <w:r w:rsidRPr="00C1211E">
        <w:t>GENERAL</w:t>
      </w:r>
    </w:p>
    <w:p w14:paraId="60CA1A39" w14:textId="77777777" w:rsidR="00BD4AE0" w:rsidRDefault="00BD4AE0" w:rsidP="00C01432">
      <w:pPr>
        <w:pStyle w:val="ArticleHeading"/>
      </w:pPr>
      <w:bookmarkStart w:id="0" w:name="OLE_LINK1"/>
      <w:bookmarkStart w:id="1" w:name="OLE_LINK2"/>
      <w:r w:rsidRPr="00C1211E">
        <w:t>DESCRIPTION</w:t>
      </w:r>
    </w:p>
    <w:p w14:paraId="599CE3B2" w14:textId="6F66EEC5" w:rsidR="00B90CC5" w:rsidRDefault="00B90CC5" w:rsidP="00B90CC5">
      <w:pPr>
        <w:pStyle w:val="Paragraph"/>
      </w:pPr>
      <w:r>
        <w:t>Scope:</w:t>
      </w:r>
    </w:p>
    <w:p w14:paraId="21AFBD90" w14:textId="77777777" w:rsidR="00B90CC5" w:rsidRPr="005D110D" w:rsidRDefault="00B90CC5" w:rsidP="00B90CC5">
      <w:pPr>
        <w:pStyle w:val="Paragraph1"/>
      </w:pPr>
      <w:r w:rsidRPr="005D110D">
        <w:t>Contractor shall provide all labor, materials, equipment, and incidentals as shown, specified, and required to furnish and install wiring devices.</w:t>
      </w:r>
    </w:p>
    <w:p w14:paraId="5AE30116" w14:textId="57BC1D1D" w:rsidR="00B90CC5" w:rsidRDefault="007D7942" w:rsidP="00B90CC5">
      <w:pPr>
        <w:pStyle w:val="Paragraph1"/>
      </w:pPr>
      <w:r>
        <w:t>Section includes:</w:t>
      </w:r>
    </w:p>
    <w:bookmarkEnd w:id="0"/>
    <w:bookmarkEnd w:id="1"/>
    <w:p w14:paraId="0C7361A7" w14:textId="36CCE548" w:rsidR="007D7942" w:rsidRDefault="007D7942" w:rsidP="007D7942">
      <w:pPr>
        <w:pStyle w:val="Subparagrapha"/>
      </w:pPr>
      <w:r w:rsidRPr="007D7942">
        <w:t xml:space="preserve">Straight-blade </w:t>
      </w:r>
      <w:r w:rsidR="007553C5">
        <w:t>Devices, 125 V, 20 A</w:t>
      </w:r>
      <w:r w:rsidRPr="007D7942">
        <w:t>.</w:t>
      </w:r>
    </w:p>
    <w:p w14:paraId="6D84CABA" w14:textId="45F26125" w:rsidR="007553C5" w:rsidRDefault="007553C5" w:rsidP="007D7942">
      <w:pPr>
        <w:pStyle w:val="Subparagrapha"/>
      </w:pPr>
      <w:r>
        <w:t>GFCI Receptacles, 125 V, 20A.</w:t>
      </w:r>
    </w:p>
    <w:p w14:paraId="1A623E07" w14:textId="7E8590AB" w:rsidR="007553C5" w:rsidRDefault="007553C5" w:rsidP="007D7942">
      <w:pPr>
        <w:pStyle w:val="Subparagrapha"/>
      </w:pPr>
      <w:r>
        <w:t>Hazardous (classified) Location Receptacles.</w:t>
      </w:r>
    </w:p>
    <w:p w14:paraId="2F1B555D" w14:textId="46A6A5FB" w:rsidR="002329F7" w:rsidRPr="007D7942" w:rsidRDefault="002329F7" w:rsidP="007D7942">
      <w:pPr>
        <w:pStyle w:val="Subparagrapha"/>
      </w:pPr>
      <w:r>
        <w:t>Twist-locking Receptacles.</w:t>
      </w:r>
    </w:p>
    <w:p w14:paraId="47595279" w14:textId="48BDBDC7" w:rsidR="00E579E3" w:rsidRDefault="00E579E3" w:rsidP="007D7942">
      <w:pPr>
        <w:pStyle w:val="Subparagrapha"/>
      </w:pPr>
      <w:r>
        <w:t>Pendant Cord-Connector Devices.</w:t>
      </w:r>
    </w:p>
    <w:p w14:paraId="4175F665" w14:textId="77777777" w:rsidR="007D7942" w:rsidRPr="007D7942" w:rsidRDefault="007D7942" w:rsidP="007D7942">
      <w:pPr>
        <w:pStyle w:val="Subparagrapha"/>
      </w:pPr>
      <w:r w:rsidRPr="007D7942">
        <w:t>Cord and plug sets.</w:t>
      </w:r>
    </w:p>
    <w:p w14:paraId="657A5968" w14:textId="023A55D2" w:rsidR="007D7942" w:rsidRPr="007D7942" w:rsidRDefault="007D7942" w:rsidP="007D7942">
      <w:pPr>
        <w:pStyle w:val="Subparagrapha"/>
      </w:pPr>
      <w:r w:rsidRPr="007D7942">
        <w:t>Toggle switches</w:t>
      </w:r>
      <w:r w:rsidR="002329F7">
        <w:t>, 120/277 V, 20 A</w:t>
      </w:r>
      <w:r w:rsidRPr="007D7942">
        <w:t>.</w:t>
      </w:r>
    </w:p>
    <w:p w14:paraId="21C4C705" w14:textId="77777777" w:rsidR="007D7942" w:rsidRPr="007D7942" w:rsidRDefault="007D7942" w:rsidP="007D7942">
      <w:pPr>
        <w:pStyle w:val="Subparagrapha"/>
      </w:pPr>
      <w:r w:rsidRPr="007D7942">
        <w:t>Wall-box dimmers.</w:t>
      </w:r>
    </w:p>
    <w:p w14:paraId="1513D54C" w14:textId="77777777" w:rsidR="007D7942" w:rsidRDefault="007D7942" w:rsidP="007D7942">
      <w:pPr>
        <w:pStyle w:val="Subparagrapha"/>
      </w:pPr>
      <w:r w:rsidRPr="007D7942">
        <w:t>Wall plates.</w:t>
      </w:r>
    </w:p>
    <w:p w14:paraId="63D157E3" w14:textId="77777777" w:rsidR="007D7942" w:rsidRPr="005D110D" w:rsidRDefault="007D7942" w:rsidP="007D7942">
      <w:pPr>
        <w:pStyle w:val="Paragraph"/>
      </w:pPr>
      <w:r w:rsidRPr="005D110D">
        <w:t>Coordination:</w:t>
      </w:r>
    </w:p>
    <w:p w14:paraId="71258E6E" w14:textId="25143212" w:rsidR="007D7942" w:rsidRPr="005D110D" w:rsidRDefault="007D7942" w:rsidP="007D7942">
      <w:pPr>
        <w:pStyle w:val="Paragraph1"/>
      </w:pPr>
      <w:r w:rsidRPr="005D110D">
        <w:t xml:space="preserve">Review installation procedures under other Sections and coordinate installation of items to be installed with or before </w:t>
      </w:r>
      <w:r w:rsidR="003A123E">
        <w:t>Wiring Devices</w:t>
      </w:r>
      <w:r w:rsidRPr="005D110D">
        <w:t>.</w:t>
      </w:r>
    </w:p>
    <w:p w14:paraId="1F44ADA8" w14:textId="77777777" w:rsidR="007D7942" w:rsidRPr="005D110D" w:rsidRDefault="007D7942" w:rsidP="007D7942">
      <w:pPr>
        <w:pStyle w:val="Paragraph"/>
      </w:pPr>
      <w:r w:rsidRPr="005D110D">
        <w:t>Related Sections:</w:t>
      </w:r>
    </w:p>
    <w:p w14:paraId="28C6D6BB" w14:textId="77777777" w:rsidR="007D7942" w:rsidRPr="005D110D" w:rsidRDefault="007D7942" w:rsidP="007D7942">
      <w:pPr>
        <w:pBdr>
          <w:top w:val="double" w:sz="6" w:space="1" w:color="auto"/>
          <w:left w:val="double" w:sz="6" w:space="1" w:color="auto"/>
          <w:bottom w:val="double" w:sz="6" w:space="1" w:color="auto"/>
          <w:right w:val="double" w:sz="6" w:space="1" w:color="auto"/>
        </w:pBdr>
        <w:suppressAutoHyphens/>
        <w:spacing w:before="240"/>
        <w:jc w:val="both"/>
      </w:pPr>
      <w:r w:rsidRPr="005D110D">
        <w:t>NTS: List below only sections covering products, construction, and equipment specifically identified in this section and specified in another section and directly referenced in this specification.  Do not list administrative and procedural division 01 sections.</w:t>
      </w:r>
    </w:p>
    <w:p w14:paraId="6F288F75" w14:textId="77777777" w:rsidR="007D7942" w:rsidRPr="005D110D" w:rsidRDefault="007D7942" w:rsidP="007D7942">
      <w:pPr>
        <w:pStyle w:val="Paragraph1"/>
      </w:pPr>
      <w:r w:rsidRPr="005D110D">
        <w:t>Section 26 05 05, General Provisions for Electrical Systems.</w:t>
      </w:r>
    </w:p>
    <w:p w14:paraId="02147F4F" w14:textId="77777777" w:rsidR="007D7942" w:rsidRPr="005D110D" w:rsidRDefault="007D7942" w:rsidP="007D7942">
      <w:pPr>
        <w:pStyle w:val="Paragraph1"/>
      </w:pPr>
      <w:r w:rsidRPr="005D110D">
        <w:t>Section 26 05 19, Low-Voltage Electrical Power Conductors and Cables.</w:t>
      </w:r>
    </w:p>
    <w:p w14:paraId="67649A4A" w14:textId="77777777" w:rsidR="007D7942" w:rsidRPr="005D110D" w:rsidRDefault="007D7942" w:rsidP="007D7942">
      <w:pPr>
        <w:pStyle w:val="Paragraph1"/>
      </w:pPr>
      <w:r w:rsidRPr="005D110D">
        <w:t>Section 26 05 26, Grounding and Bonding for Electrical Systems.</w:t>
      </w:r>
    </w:p>
    <w:p w14:paraId="1980099D" w14:textId="77777777" w:rsidR="007D7942" w:rsidRPr="005D110D" w:rsidRDefault="007D7942" w:rsidP="007D7942">
      <w:pPr>
        <w:pStyle w:val="Paragraph1"/>
      </w:pPr>
      <w:r w:rsidRPr="005D110D">
        <w:t>Section 26 05 33, Raceways and Boxes for Electrical Systems.</w:t>
      </w:r>
    </w:p>
    <w:p w14:paraId="45F0F01D" w14:textId="63462C3D" w:rsidR="007D7942" w:rsidRPr="007D7942" w:rsidRDefault="007D7942" w:rsidP="007D7942">
      <w:pPr>
        <w:pStyle w:val="Paragraph1"/>
      </w:pPr>
      <w:r w:rsidRPr="005D110D">
        <w:t>Section 26 05 53, Identification for Electrical Systems.</w:t>
      </w:r>
    </w:p>
    <w:p w14:paraId="7490F08E" w14:textId="77777777" w:rsidR="004063C7" w:rsidRDefault="004063C7" w:rsidP="00C01432">
      <w:pPr>
        <w:pStyle w:val="ArticleHeading"/>
      </w:pPr>
      <w:r>
        <w:t>REFERENCES</w:t>
      </w:r>
    </w:p>
    <w:p w14:paraId="75BB88E5" w14:textId="13F5AA30" w:rsidR="002329F7" w:rsidRDefault="002329F7" w:rsidP="002329F7">
      <w:pPr>
        <w:pStyle w:val="Paragraph"/>
      </w:pPr>
      <w:r>
        <w:t>Definitions referenced in this Section are:</w:t>
      </w:r>
    </w:p>
    <w:p w14:paraId="367FB3ED" w14:textId="77777777" w:rsidR="002329F7" w:rsidRPr="005D110D" w:rsidRDefault="002329F7" w:rsidP="002329F7">
      <w:pPr>
        <w:pStyle w:val="Paragraph1"/>
      </w:pPr>
      <w:r w:rsidRPr="005D110D">
        <w:t>Abbreviations of Manufacturers' Names:</w:t>
      </w:r>
    </w:p>
    <w:p w14:paraId="5C2652CD" w14:textId="77777777" w:rsidR="002329F7" w:rsidRDefault="002329F7" w:rsidP="002329F7">
      <w:pPr>
        <w:pStyle w:val="Subparagrapha"/>
      </w:pPr>
      <w:r>
        <w:t>Eaton: Eaton; Arrow-Hart Wiring Devices.</w:t>
      </w:r>
    </w:p>
    <w:p w14:paraId="45437C28" w14:textId="77777777" w:rsidR="002329F7" w:rsidRPr="005D110D" w:rsidRDefault="002329F7" w:rsidP="002329F7">
      <w:pPr>
        <w:pStyle w:val="Subparagrapha"/>
      </w:pPr>
      <w:r w:rsidRPr="005D110D">
        <w:t>Hubbell: Hubbell Incorporated</w:t>
      </w:r>
      <w:r>
        <w:t>;</w:t>
      </w:r>
      <w:r w:rsidRPr="005D110D">
        <w:t xml:space="preserve"> </w:t>
      </w:r>
      <w:r>
        <w:t xml:space="preserve">Hubbell </w:t>
      </w:r>
      <w:r w:rsidRPr="005D110D">
        <w:t>Wiring Devices-</w:t>
      </w:r>
      <w:proofErr w:type="spellStart"/>
      <w:r w:rsidRPr="005D110D">
        <w:t>Kellems</w:t>
      </w:r>
      <w:proofErr w:type="spellEnd"/>
      <w:r w:rsidRPr="005D110D">
        <w:t>.</w:t>
      </w:r>
    </w:p>
    <w:p w14:paraId="48FEE3C5" w14:textId="77777777" w:rsidR="002329F7" w:rsidRPr="005D110D" w:rsidRDefault="002329F7" w:rsidP="002329F7">
      <w:pPr>
        <w:pStyle w:val="Subparagrapha"/>
      </w:pPr>
      <w:r w:rsidRPr="005D110D">
        <w:t>Leviton: Leviton Mfg. Company, Inc.</w:t>
      </w:r>
    </w:p>
    <w:p w14:paraId="7574E337" w14:textId="12D1956A" w:rsidR="002329F7" w:rsidRPr="005D110D" w:rsidRDefault="002329F7" w:rsidP="002329F7">
      <w:pPr>
        <w:pStyle w:val="Subparagrapha"/>
      </w:pPr>
      <w:r>
        <w:lastRenderedPageBreak/>
        <w:t>P &amp; S</w:t>
      </w:r>
      <w:r w:rsidRPr="005D110D">
        <w:t>: Pass</w:t>
      </w:r>
      <w:r w:rsidR="003A123E">
        <w:t xml:space="preserve"> </w:t>
      </w:r>
      <w:r w:rsidRPr="005D110D">
        <w:t>&amp; Seymour/Legrand.</w:t>
      </w:r>
    </w:p>
    <w:p w14:paraId="38234744" w14:textId="77777777" w:rsidR="007D7942" w:rsidRPr="005D110D" w:rsidRDefault="007D7942" w:rsidP="007D7942">
      <w:pPr>
        <w:pStyle w:val="Paragraph"/>
        <w:rPr>
          <w:szCs w:val="22"/>
        </w:rPr>
      </w:pPr>
      <w:r w:rsidRPr="005D110D">
        <w:rPr>
          <w:szCs w:val="22"/>
        </w:rPr>
        <w:t>Standards referenced in this Section are:</w:t>
      </w:r>
    </w:p>
    <w:p w14:paraId="3C71DCD0" w14:textId="77777777" w:rsidR="007D7942" w:rsidRPr="005D110D" w:rsidRDefault="007D7942" w:rsidP="007D7942">
      <w:pPr>
        <w:pStyle w:val="Paragraph1"/>
        <w:tabs>
          <w:tab w:val="num" w:pos="1440"/>
        </w:tabs>
        <w:rPr>
          <w:szCs w:val="22"/>
        </w:rPr>
      </w:pPr>
      <w:r w:rsidRPr="005D110D">
        <w:rPr>
          <w:szCs w:val="22"/>
        </w:rPr>
        <w:t>FS – Federal Specifications:</w:t>
      </w:r>
    </w:p>
    <w:p w14:paraId="7730F1A0" w14:textId="77777777" w:rsidR="007D7942" w:rsidRPr="005D110D" w:rsidRDefault="007D7942" w:rsidP="007D7942">
      <w:pPr>
        <w:pStyle w:val="Subparagrapha"/>
        <w:rPr>
          <w:szCs w:val="22"/>
        </w:rPr>
      </w:pPr>
      <w:r w:rsidRPr="005D110D">
        <w:rPr>
          <w:szCs w:val="22"/>
        </w:rPr>
        <w:t>FS WC-596, Electrical Power Connector, Plug, Receptacle, and Cable Outlet.</w:t>
      </w:r>
    </w:p>
    <w:p w14:paraId="2BB26DB4" w14:textId="77777777" w:rsidR="007D7942" w:rsidRPr="005D110D" w:rsidRDefault="007D7942" w:rsidP="007D7942">
      <w:pPr>
        <w:pStyle w:val="Subparagrapha"/>
        <w:rPr>
          <w:szCs w:val="22"/>
        </w:rPr>
      </w:pPr>
      <w:r w:rsidRPr="005D110D">
        <w:rPr>
          <w:szCs w:val="22"/>
        </w:rPr>
        <w:t>FS W-S-896-E, Switch, Toggle</w:t>
      </w:r>
    </w:p>
    <w:p w14:paraId="77275F7D" w14:textId="77777777" w:rsidR="007D7942" w:rsidRPr="005D110D" w:rsidRDefault="007D7942" w:rsidP="007D7942">
      <w:pPr>
        <w:pStyle w:val="Paragraph1"/>
        <w:tabs>
          <w:tab w:val="num" w:pos="1440"/>
        </w:tabs>
        <w:rPr>
          <w:szCs w:val="22"/>
        </w:rPr>
      </w:pPr>
      <w:r w:rsidRPr="005D110D">
        <w:rPr>
          <w:szCs w:val="22"/>
        </w:rPr>
        <w:t>UL 498, Standard for Attachment Plugs and Receptacles</w:t>
      </w:r>
    </w:p>
    <w:p w14:paraId="3C873B17" w14:textId="77777777" w:rsidR="007D7942" w:rsidRPr="005D110D" w:rsidRDefault="007D7942" w:rsidP="007D7942">
      <w:pPr>
        <w:pStyle w:val="Paragraph1"/>
        <w:tabs>
          <w:tab w:val="num" w:pos="1440"/>
        </w:tabs>
        <w:rPr>
          <w:szCs w:val="22"/>
        </w:rPr>
      </w:pPr>
      <w:r w:rsidRPr="005D110D">
        <w:rPr>
          <w:szCs w:val="22"/>
        </w:rPr>
        <w:t>ULK 1682, Plugs, Receptacles, and Cable Connectors of the Pin and Sleeve Type</w:t>
      </w:r>
    </w:p>
    <w:p w14:paraId="2AF2C4C9" w14:textId="77777777" w:rsidR="007D7942" w:rsidRPr="005D110D" w:rsidRDefault="007D7942" w:rsidP="007D7942">
      <w:pPr>
        <w:pStyle w:val="Paragraph1"/>
        <w:tabs>
          <w:tab w:val="num" w:pos="1440"/>
        </w:tabs>
        <w:rPr>
          <w:szCs w:val="22"/>
        </w:rPr>
      </w:pPr>
      <w:r w:rsidRPr="005D110D">
        <w:rPr>
          <w:szCs w:val="22"/>
        </w:rPr>
        <w:t>NEMA WD 1, General Color Requirements for Wiring Devices.</w:t>
      </w:r>
    </w:p>
    <w:p w14:paraId="3E742E48" w14:textId="77777777" w:rsidR="007D7942" w:rsidRPr="005D110D" w:rsidRDefault="007D7942" w:rsidP="007D7942">
      <w:pPr>
        <w:pStyle w:val="Paragraph1"/>
        <w:tabs>
          <w:tab w:val="num" w:pos="1440"/>
        </w:tabs>
        <w:rPr>
          <w:szCs w:val="22"/>
        </w:rPr>
      </w:pPr>
      <w:r w:rsidRPr="005D110D">
        <w:rPr>
          <w:szCs w:val="22"/>
        </w:rPr>
        <w:t>NEMA OS 3, Selection and Installation Guidelines for Electrical Outlet Boxes.</w:t>
      </w:r>
    </w:p>
    <w:p w14:paraId="0A206324" w14:textId="77777777" w:rsidR="007D7942" w:rsidRPr="005D110D" w:rsidRDefault="007D7942" w:rsidP="007D7942">
      <w:pPr>
        <w:pStyle w:val="Paragraph1"/>
        <w:tabs>
          <w:tab w:val="num" w:pos="1440"/>
        </w:tabs>
        <w:rPr>
          <w:szCs w:val="22"/>
        </w:rPr>
      </w:pPr>
      <w:r w:rsidRPr="005D110D">
        <w:rPr>
          <w:szCs w:val="22"/>
        </w:rPr>
        <w:t>NEMA WD 6, Wiring Devices – Dimensional Requirements.</w:t>
      </w:r>
    </w:p>
    <w:p w14:paraId="17880D89" w14:textId="77777777" w:rsidR="007D7942" w:rsidRPr="005D110D" w:rsidRDefault="007D7942" w:rsidP="007D7942">
      <w:pPr>
        <w:pStyle w:val="Paragraph1"/>
        <w:tabs>
          <w:tab w:val="num" w:pos="1440"/>
        </w:tabs>
        <w:rPr>
          <w:szCs w:val="22"/>
        </w:rPr>
      </w:pPr>
      <w:r w:rsidRPr="005D110D">
        <w:rPr>
          <w:szCs w:val="22"/>
        </w:rPr>
        <w:t>NEMA FB 11, Plugs, Receptacles and Connectors of the Pin and Sleeve Type for Hazardous Locations.</w:t>
      </w:r>
    </w:p>
    <w:p w14:paraId="161C05FE" w14:textId="1DB00591" w:rsidR="007D7942" w:rsidRPr="007D7942" w:rsidRDefault="007D7942" w:rsidP="007D7942">
      <w:pPr>
        <w:pStyle w:val="Paragraph1"/>
        <w:tabs>
          <w:tab w:val="num" w:pos="1440"/>
        </w:tabs>
        <w:rPr>
          <w:szCs w:val="22"/>
        </w:rPr>
      </w:pPr>
      <w:r w:rsidRPr="005D110D">
        <w:rPr>
          <w:szCs w:val="22"/>
        </w:rPr>
        <w:t>NFPA 70, National Electrical Code.</w:t>
      </w:r>
    </w:p>
    <w:p w14:paraId="020B56AC" w14:textId="34E0653C" w:rsidR="00BA42A1" w:rsidRDefault="00BA42A1" w:rsidP="00C01432">
      <w:pPr>
        <w:pStyle w:val="ArticleHeading"/>
      </w:pPr>
      <w:r>
        <w:t>DEFINITIONS</w:t>
      </w:r>
    </w:p>
    <w:p w14:paraId="50C87294" w14:textId="4B442223" w:rsidR="00BA42A1" w:rsidRDefault="00BA42A1" w:rsidP="00BA42A1">
      <w:pPr>
        <w:pStyle w:val="Paragraph"/>
      </w:pPr>
      <w:r>
        <w:t>Definitions referenced in this Section are:</w:t>
      </w:r>
    </w:p>
    <w:p w14:paraId="0309F0C7" w14:textId="77777777" w:rsidR="00BA42A1" w:rsidRDefault="00BA42A1" w:rsidP="00BA42A1">
      <w:pPr>
        <w:pStyle w:val="Paragraph1"/>
      </w:pPr>
      <w:r>
        <w:t>BAS: Building automation system.</w:t>
      </w:r>
    </w:p>
    <w:p w14:paraId="2F66BB8A" w14:textId="77777777" w:rsidR="00BA42A1" w:rsidRDefault="00BA42A1" w:rsidP="00BA42A1">
      <w:pPr>
        <w:pStyle w:val="Paragraph1"/>
      </w:pPr>
      <w:r>
        <w:t>EMI: Electromagnetic interference.</w:t>
      </w:r>
    </w:p>
    <w:p w14:paraId="13356E49" w14:textId="77777777" w:rsidR="00BA42A1" w:rsidRPr="005D110D" w:rsidRDefault="00BA42A1" w:rsidP="00BA42A1">
      <w:pPr>
        <w:pStyle w:val="Paragraph1"/>
      </w:pPr>
      <w:r w:rsidRPr="005D110D">
        <w:t>GFCI: Ground-fault circuit interrupter.</w:t>
      </w:r>
    </w:p>
    <w:p w14:paraId="03D4A623" w14:textId="77777777" w:rsidR="00BA42A1" w:rsidRPr="005D110D" w:rsidRDefault="00BA42A1" w:rsidP="00BA42A1">
      <w:pPr>
        <w:pStyle w:val="Paragraph1"/>
      </w:pPr>
      <w:r w:rsidRPr="005D110D">
        <w:t>Pigtail: Short lead used to connect a device to a branch-circuit conductor.</w:t>
      </w:r>
    </w:p>
    <w:p w14:paraId="0FF6485C" w14:textId="77777777" w:rsidR="00BA42A1" w:rsidRPr="005D110D" w:rsidRDefault="00BA42A1" w:rsidP="00BA42A1">
      <w:pPr>
        <w:pStyle w:val="Paragraph1"/>
      </w:pPr>
      <w:r w:rsidRPr="005D110D">
        <w:t>RFI: Radio-frequency interference.</w:t>
      </w:r>
    </w:p>
    <w:p w14:paraId="7642BB60" w14:textId="77777777" w:rsidR="00BA42A1" w:rsidRPr="005D110D" w:rsidRDefault="00BA42A1" w:rsidP="00BA42A1">
      <w:pPr>
        <w:pStyle w:val="Paragraph1"/>
      </w:pPr>
      <w:r w:rsidRPr="005D110D">
        <w:t>SPD: Surge protective device.</w:t>
      </w:r>
    </w:p>
    <w:p w14:paraId="6A7F9E77" w14:textId="3ED9793E" w:rsidR="00FC53EA" w:rsidRPr="003C5B93" w:rsidRDefault="00FC53EA" w:rsidP="00FC53EA">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4</w:t>
      </w:r>
      <w:bookmarkStart w:id="2" w:name="_GoBack"/>
      <w:bookmarkEnd w:id="2"/>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14:paraId="50F8243D" w14:textId="77777777" w:rsidR="004063C7" w:rsidRDefault="004063C7" w:rsidP="00C01432">
      <w:pPr>
        <w:pStyle w:val="ArticleHeading"/>
      </w:pPr>
      <w:r>
        <w:t xml:space="preserve">SUBMITTALS </w:t>
      </w:r>
    </w:p>
    <w:p w14:paraId="6E5100FA" w14:textId="77777777" w:rsidR="008F400C" w:rsidRPr="00CC3AC6" w:rsidRDefault="008F400C" w:rsidP="008F400C">
      <w:pPr>
        <w:pStyle w:val="Paragraph"/>
      </w:pPr>
      <w:r w:rsidRPr="00CC3AC6">
        <w:t>Action Submittals: Submit the following:</w:t>
      </w:r>
    </w:p>
    <w:p w14:paraId="349F69E9" w14:textId="77777777" w:rsidR="008F400C" w:rsidRDefault="008F400C" w:rsidP="008F400C">
      <w:pPr>
        <w:pStyle w:val="Paragraph1"/>
        <w:tabs>
          <w:tab w:val="num" w:pos="1440"/>
        </w:tabs>
      </w:pPr>
      <w:r w:rsidRPr="00CC3AC6">
        <w:t>Product Data</w:t>
      </w:r>
      <w:r>
        <w:t xml:space="preserve"> </w:t>
      </w:r>
    </w:p>
    <w:p w14:paraId="62AEE97B" w14:textId="36A2B2DA" w:rsidR="008F400C" w:rsidRDefault="001449C5" w:rsidP="007D7942">
      <w:pPr>
        <w:pStyle w:val="Subparagrapha"/>
      </w:pPr>
      <w:r>
        <w:t>For each type of product.</w:t>
      </w:r>
    </w:p>
    <w:p w14:paraId="2813EC12" w14:textId="0E191089" w:rsidR="008F400C" w:rsidRDefault="008F400C" w:rsidP="008F400C">
      <w:pPr>
        <w:pStyle w:val="Paragraph1"/>
        <w:tabs>
          <w:tab w:val="num" w:pos="1440"/>
        </w:tabs>
      </w:pPr>
      <w:r>
        <w:t>Shop Drawings</w:t>
      </w:r>
      <w:r w:rsidR="003A123E">
        <w:t xml:space="preserve"> (NOT USED)</w:t>
      </w:r>
    </w:p>
    <w:p w14:paraId="1F544921" w14:textId="77777777" w:rsidR="008F400C" w:rsidRPr="005513D4" w:rsidRDefault="008F400C" w:rsidP="008F400C">
      <w:pPr>
        <w:pStyle w:val="Paragraph1"/>
        <w:tabs>
          <w:tab w:val="num" w:pos="1440"/>
        </w:tabs>
      </w:pPr>
      <w:r>
        <w:t>Samples (NOT USED)</w:t>
      </w:r>
    </w:p>
    <w:p w14:paraId="7F86419D" w14:textId="58D20307" w:rsidR="008F400C" w:rsidRPr="00CC3AC6" w:rsidRDefault="008F400C" w:rsidP="008F400C">
      <w:pPr>
        <w:pStyle w:val="Paragraph"/>
      </w:pPr>
      <w:r w:rsidRPr="00CC3AC6">
        <w:t>Informational Submittals:</w:t>
      </w:r>
      <w:r w:rsidR="001449C5">
        <w:t xml:space="preserve"> (NOT USED)</w:t>
      </w:r>
      <w:r w:rsidRPr="00CC3AC6">
        <w:t xml:space="preserve"> </w:t>
      </w:r>
    </w:p>
    <w:p w14:paraId="5C9020F0" w14:textId="68F3FDFF" w:rsidR="008F400C" w:rsidRDefault="008F400C" w:rsidP="008F400C">
      <w:pPr>
        <w:pStyle w:val="Paragraph1"/>
        <w:tabs>
          <w:tab w:val="num" w:pos="1440"/>
        </w:tabs>
      </w:pPr>
      <w:r w:rsidRPr="00CC3AC6">
        <w:t>Certificates</w:t>
      </w:r>
      <w:r w:rsidR="001449C5">
        <w:t xml:space="preserve"> (NOT USED)</w:t>
      </w:r>
    </w:p>
    <w:p w14:paraId="63DE5E63" w14:textId="77777777" w:rsidR="008F400C" w:rsidRDefault="008F400C" w:rsidP="008F400C">
      <w:pPr>
        <w:pStyle w:val="Paragraph1"/>
        <w:tabs>
          <w:tab w:val="num" w:pos="1440"/>
        </w:tabs>
      </w:pPr>
      <w:r>
        <w:t>Delegated Design Submittal (NOT USED)</w:t>
      </w:r>
    </w:p>
    <w:p w14:paraId="64D7E0D1" w14:textId="729C09F8" w:rsidR="008F400C" w:rsidRDefault="008F400C" w:rsidP="008F400C">
      <w:pPr>
        <w:pStyle w:val="Paragraph1"/>
        <w:tabs>
          <w:tab w:val="num" w:pos="1440"/>
        </w:tabs>
      </w:pPr>
      <w:r>
        <w:t>Test and Evaluation Reports</w:t>
      </w:r>
    </w:p>
    <w:p w14:paraId="673763C1" w14:textId="39F8C95D" w:rsidR="003A123E" w:rsidRDefault="001D7095" w:rsidP="003A123E">
      <w:pPr>
        <w:pStyle w:val="Subparagrapha"/>
      </w:pPr>
      <w:r>
        <w:t>Results of required Test and Evaluation Reports</w:t>
      </w:r>
      <w:r w:rsidR="003A123E">
        <w:t>.</w:t>
      </w:r>
    </w:p>
    <w:p w14:paraId="48D89E7F" w14:textId="77777777" w:rsidR="008F400C" w:rsidRDefault="008F400C" w:rsidP="008F400C">
      <w:pPr>
        <w:pStyle w:val="Paragraph1"/>
        <w:tabs>
          <w:tab w:val="num" w:pos="1440"/>
        </w:tabs>
      </w:pPr>
      <w:r>
        <w:t>Manufacturers’ Instructions (NOT USED)</w:t>
      </w:r>
    </w:p>
    <w:p w14:paraId="47D4D3DC" w14:textId="1AB433E8" w:rsidR="0027595D" w:rsidRDefault="008F400C" w:rsidP="008F400C">
      <w:pPr>
        <w:pStyle w:val="Paragraph1"/>
        <w:tabs>
          <w:tab w:val="num" w:pos="1440"/>
        </w:tabs>
      </w:pPr>
      <w:r w:rsidRPr="00CC3AC6">
        <w:t>Source Quality Control Submittals</w:t>
      </w:r>
      <w:r w:rsidR="001449C5">
        <w:t xml:space="preserve"> (NOT USED)</w:t>
      </w:r>
    </w:p>
    <w:p w14:paraId="4B8EA011" w14:textId="0E38158A" w:rsidR="008F400C" w:rsidRDefault="008F400C" w:rsidP="008F400C">
      <w:pPr>
        <w:pStyle w:val="Paragraph1"/>
        <w:tabs>
          <w:tab w:val="num" w:pos="1440"/>
        </w:tabs>
      </w:pPr>
      <w:r>
        <w:t>Field Quality Control Submittals</w:t>
      </w:r>
      <w:r w:rsidR="001449C5">
        <w:t xml:space="preserve"> (NOT USED)</w:t>
      </w:r>
    </w:p>
    <w:p w14:paraId="399F9500" w14:textId="77777777" w:rsidR="008F400C" w:rsidRDefault="008F400C" w:rsidP="008F400C">
      <w:pPr>
        <w:pStyle w:val="Paragraph1"/>
        <w:tabs>
          <w:tab w:val="num" w:pos="1440"/>
        </w:tabs>
      </w:pPr>
      <w:r>
        <w:t>Manufacturer Reports (NOT USED)</w:t>
      </w:r>
    </w:p>
    <w:p w14:paraId="3A23FF43" w14:textId="77777777" w:rsidR="008F400C" w:rsidRDefault="008F400C" w:rsidP="008F400C">
      <w:pPr>
        <w:pStyle w:val="Paragraph1"/>
        <w:tabs>
          <w:tab w:val="num" w:pos="1440"/>
        </w:tabs>
      </w:pPr>
      <w:r>
        <w:t>Sustainable Design Submittals (NOT USED)</w:t>
      </w:r>
    </w:p>
    <w:p w14:paraId="12047426" w14:textId="77777777" w:rsidR="008F400C" w:rsidRPr="00CC3AC6" w:rsidRDefault="008F400C" w:rsidP="008F400C">
      <w:pPr>
        <w:pStyle w:val="Paragraph1"/>
        <w:tabs>
          <w:tab w:val="num" w:pos="1440"/>
        </w:tabs>
      </w:pPr>
      <w:r>
        <w:t>Special Procedure Submittals (NOT USED)</w:t>
      </w:r>
    </w:p>
    <w:p w14:paraId="4FE8A23B" w14:textId="189F02D6" w:rsidR="008F400C" w:rsidRDefault="008F400C" w:rsidP="008F400C">
      <w:pPr>
        <w:pStyle w:val="Paragraph1"/>
        <w:tabs>
          <w:tab w:val="num" w:pos="1440"/>
        </w:tabs>
      </w:pPr>
      <w:r w:rsidRPr="00CC3AC6">
        <w:t>Qualifications Statements</w:t>
      </w:r>
      <w:r w:rsidR="001449C5">
        <w:t xml:space="preserve"> (NOT USED)</w:t>
      </w:r>
    </w:p>
    <w:p w14:paraId="2AA495C4" w14:textId="05273609" w:rsidR="008F400C" w:rsidRDefault="008F400C" w:rsidP="008F400C">
      <w:pPr>
        <w:pStyle w:val="Paragraph"/>
      </w:pPr>
      <w:r>
        <w:lastRenderedPageBreak/>
        <w:t>Closeout Submittals</w:t>
      </w:r>
    </w:p>
    <w:p w14:paraId="45416251" w14:textId="0381C38D" w:rsidR="00952C4C" w:rsidRDefault="00952C4C" w:rsidP="00952C4C">
      <w:pPr>
        <w:pStyle w:val="Paragraph1"/>
      </w:pPr>
      <w:r>
        <w:t>Maintenance Contracts</w:t>
      </w:r>
      <w:r w:rsidR="007553C5">
        <w:t xml:space="preserve"> (NOT USED)</w:t>
      </w:r>
    </w:p>
    <w:p w14:paraId="7249C308" w14:textId="6105A5E1" w:rsidR="00952C4C" w:rsidRDefault="00952C4C" w:rsidP="00952C4C">
      <w:pPr>
        <w:pStyle w:val="Paragraph1"/>
      </w:pPr>
      <w:r>
        <w:t>Operation and Maintenance Data</w:t>
      </w:r>
      <w:r w:rsidR="00A50AA6">
        <w:t>:</w:t>
      </w:r>
    </w:p>
    <w:p w14:paraId="5BEBF82A" w14:textId="11A0860C" w:rsidR="00A50AA6" w:rsidRPr="005D110D" w:rsidRDefault="00A50AA6" w:rsidP="00A50AA6">
      <w:pPr>
        <w:pStyle w:val="Subparagrapha"/>
        <w:rPr>
          <w:szCs w:val="22"/>
        </w:rPr>
      </w:pPr>
      <w:r w:rsidRPr="005D110D">
        <w:rPr>
          <w:szCs w:val="22"/>
        </w:rPr>
        <w:t>Submit complete installation, operation and maintenance manuals including</w:t>
      </w:r>
      <w:r w:rsidR="007553C5">
        <w:rPr>
          <w:szCs w:val="22"/>
        </w:rPr>
        <w:t xml:space="preserve"> all manufacturer’s packing-label warnings and instruction manuals that include labeling conditions.</w:t>
      </w:r>
    </w:p>
    <w:p w14:paraId="12CBF967" w14:textId="56433CD2" w:rsidR="00952C4C" w:rsidRDefault="00952C4C" w:rsidP="00952C4C">
      <w:pPr>
        <w:pStyle w:val="Paragraph1"/>
      </w:pPr>
      <w:r>
        <w:t>Bonds</w:t>
      </w:r>
      <w:r w:rsidR="007553C5">
        <w:t xml:space="preserve"> (NOT USED)</w:t>
      </w:r>
    </w:p>
    <w:p w14:paraId="430CEB3E" w14:textId="7808F613" w:rsidR="00952C4C" w:rsidRDefault="00952C4C" w:rsidP="00952C4C">
      <w:pPr>
        <w:pStyle w:val="Paragraph1"/>
      </w:pPr>
      <w:r>
        <w:t>Warranty Documentation</w:t>
      </w:r>
      <w:r w:rsidR="007553C5">
        <w:t xml:space="preserve"> (NOT USED)</w:t>
      </w:r>
    </w:p>
    <w:p w14:paraId="3C5E3846" w14:textId="0AD53B4E" w:rsidR="00952C4C" w:rsidRDefault="00952C4C" w:rsidP="00952C4C">
      <w:pPr>
        <w:pStyle w:val="Paragraph1"/>
      </w:pPr>
      <w:r>
        <w:t>Record Documentation</w:t>
      </w:r>
      <w:r w:rsidR="007553C5">
        <w:t xml:space="preserve"> (NOT USED)</w:t>
      </w:r>
    </w:p>
    <w:p w14:paraId="68FF7FF1" w14:textId="3150D150" w:rsidR="00952C4C" w:rsidRDefault="00952C4C" w:rsidP="00952C4C">
      <w:pPr>
        <w:pStyle w:val="Paragraph1"/>
      </w:pPr>
      <w:r>
        <w:t>Sustainable Design Closeout</w:t>
      </w:r>
      <w:r w:rsidR="007553C5">
        <w:t xml:space="preserve"> (NOT USED)</w:t>
      </w:r>
    </w:p>
    <w:p w14:paraId="164019B9" w14:textId="047AC9D3" w:rsidR="00952C4C" w:rsidRDefault="00952C4C" w:rsidP="00952C4C">
      <w:pPr>
        <w:pStyle w:val="Paragraph1"/>
      </w:pPr>
      <w:r>
        <w:t>Software</w:t>
      </w:r>
      <w:r w:rsidR="007553C5">
        <w:t xml:space="preserve"> (NOT USED)</w:t>
      </w:r>
    </w:p>
    <w:p w14:paraId="07123C00" w14:textId="759D5C5F" w:rsidR="008F400C" w:rsidRDefault="008F400C" w:rsidP="008F400C">
      <w:pPr>
        <w:pStyle w:val="Paragraph"/>
      </w:pPr>
      <w:r>
        <w:t>Maintenance Material Submittals</w:t>
      </w:r>
      <w:r w:rsidR="007553C5">
        <w:t xml:space="preserve"> (NOT USED)</w:t>
      </w:r>
    </w:p>
    <w:p w14:paraId="1C6695DF" w14:textId="30ED959C" w:rsidR="00952C4C" w:rsidRDefault="00952C4C" w:rsidP="00952C4C">
      <w:pPr>
        <w:pStyle w:val="Paragraph1"/>
      </w:pPr>
      <w:r>
        <w:t>Spare Parts</w:t>
      </w:r>
      <w:r w:rsidR="007553C5">
        <w:t xml:space="preserve"> (NOT USED)</w:t>
      </w:r>
    </w:p>
    <w:p w14:paraId="374EC6DB" w14:textId="25914722" w:rsidR="00952C4C" w:rsidRDefault="00952C4C" w:rsidP="00952C4C">
      <w:pPr>
        <w:pStyle w:val="Paragraph1"/>
      </w:pPr>
      <w:r>
        <w:t>Extra Stock Materials</w:t>
      </w:r>
      <w:r w:rsidR="007553C5">
        <w:t xml:space="preserve"> (NOT USED)</w:t>
      </w:r>
    </w:p>
    <w:p w14:paraId="0D11DE4A" w14:textId="5162A570" w:rsidR="00952C4C" w:rsidRDefault="00952C4C" w:rsidP="00952C4C">
      <w:pPr>
        <w:pStyle w:val="Paragraph1"/>
      </w:pPr>
      <w:r>
        <w:t>Tools</w:t>
      </w:r>
      <w:r w:rsidR="007553C5">
        <w:t xml:space="preserve"> (NOT USED)</w:t>
      </w:r>
    </w:p>
    <w:p w14:paraId="260112DD" w14:textId="77777777" w:rsidR="007D7942" w:rsidRPr="005D110D" w:rsidRDefault="007D7942" w:rsidP="00C01432">
      <w:pPr>
        <w:pStyle w:val="ArticleHeading"/>
      </w:pPr>
      <w:r w:rsidRPr="005D110D">
        <w:t>QUALITY ASSURANCE</w:t>
      </w:r>
    </w:p>
    <w:p w14:paraId="123D75B0" w14:textId="77777777" w:rsidR="007D7942" w:rsidRPr="005D110D" w:rsidRDefault="007D7942" w:rsidP="007D7942">
      <w:pPr>
        <w:pStyle w:val="Paragraph"/>
        <w:rPr>
          <w:szCs w:val="22"/>
        </w:rPr>
      </w:pPr>
      <w:r w:rsidRPr="005D110D">
        <w:rPr>
          <w:szCs w:val="22"/>
        </w:rPr>
        <w:t>Regulatory Requirements:</w:t>
      </w:r>
    </w:p>
    <w:p w14:paraId="5AD8ACC3" w14:textId="77777777" w:rsidR="007D7942" w:rsidRPr="005D110D" w:rsidRDefault="007D7942" w:rsidP="007D7942">
      <w:pPr>
        <w:pBdr>
          <w:top w:val="double" w:sz="6" w:space="1" w:color="auto"/>
          <w:left w:val="double" w:sz="6" w:space="1" w:color="auto"/>
          <w:bottom w:val="double" w:sz="6" w:space="0" w:color="auto"/>
          <w:right w:val="double" w:sz="6" w:space="1" w:color="auto"/>
        </w:pBdr>
        <w:suppressAutoHyphens/>
        <w:spacing w:before="240"/>
        <w:jc w:val="both"/>
      </w:pPr>
      <w:r w:rsidRPr="005D110D">
        <w:t>NTS: Retain applicable regulations and add others as required.</w:t>
      </w:r>
    </w:p>
    <w:p w14:paraId="4568AE26" w14:textId="77777777" w:rsidR="007D7942" w:rsidRPr="005D110D" w:rsidRDefault="007D7942" w:rsidP="007D7942">
      <w:pPr>
        <w:pStyle w:val="Paragraph1"/>
        <w:tabs>
          <w:tab w:val="num" w:pos="1440"/>
        </w:tabs>
        <w:rPr>
          <w:szCs w:val="22"/>
        </w:rPr>
      </w:pPr>
      <w:r w:rsidRPr="005D110D">
        <w:rPr>
          <w:w w:val="105"/>
          <w:szCs w:val="22"/>
        </w:rPr>
        <w:t>Nat</w:t>
      </w:r>
      <w:r w:rsidRPr="005D110D">
        <w:rPr>
          <w:spacing w:val="-9"/>
          <w:w w:val="105"/>
          <w:szCs w:val="22"/>
        </w:rPr>
        <w:t>i</w:t>
      </w:r>
      <w:r w:rsidRPr="005D110D">
        <w:rPr>
          <w:w w:val="105"/>
          <w:szCs w:val="22"/>
        </w:rPr>
        <w:t>onal</w:t>
      </w:r>
      <w:r w:rsidRPr="005D110D">
        <w:rPr>
          <w:spacing w:val="-11"/>
          <w:w w:val="105"/>
          <w:szCs w:val="22"/>
        </w:rPr>
        <w:t xml:space="preserve"> </w:t>
      </w:r>
      <w:r w:rsidRPr="005D110D">
        <w:rPr>
          <w:w w:val="105"/>
          <w:szCs w:val="22"/>
        </w:rPr>
        <w:t>Electr</w:t>
      </w:r>
      <w:r w:rsidRPr="005D110D">
        <w:rPr>
          <w:spacing w:val="-7"/>
          <w:w w:val="105"/>
          <w:szCs w:val="22"/>
        </w:rPr>
        <w:t>i</w:t>
      </w:r>
      <w:r w:rsidRPr="005D110D">
        <w:rPr>
          <w:w w:val="105"/>
          <w:szCs w:val="22"/>
        </w:rPr>
        <w:t>cal</w:t>
      </w:r>
      <w:r w:rsidRPr="005D110D">
        <w:rPr>
          <w:spacing w:val="-10"/>
          <w:w w:val="105"/>
          <w:szCs w:val="22"/>
        </w:rPr>
        <w:t xml:space="preserve"> </w:t>
      </w:r>
      <w:r w:rsidRPr="005D110D">
        <w:rPr>
          <w:w w:val="105"/>
          <w:szCs w:val="22"/>
        </w:rPr>
        <w:t>Code</w:t>
      </w:r>
      <w:r w:rsidRPr="005D110D">
        <w:rPr>
          <w:spacing w:val="-13"/>
          <w:w w:val="105"/>
          <w:szCs w:val="22"/>
        </w:rPr>
        <w:t xml:space="preserve"> </w:t>
      </w:r>
      <w:r w:rsidRPr="005D110D">
        <w:rPr>
          <w:w w:val="105"/>
          <w:szCs w:val="22"/>
        </w:rPr>
        <w:t>(NEC):</w:t>
      </w:r>
      <w:r w:rsidRPr="005D110D">
        <w:rPr>
          <w:spacing w:val="27"/>
          <w:w w:val="105"/>
          <w:szCs w:val="22"/>
        </w:rPr>
        <w:t xml:space="preserve"> </w:t>
      </w:r>
      <w:r w:rsidRPr="005D110D">
        <w:rPr>
          <w:w w:val="105"/>
          <w:szCs w:val="22"/>
        </w:rPr>
        <w:t>Co</w:t>
      </w:r>
      <w:r w:rsidRPr="005D110D">
        <w:rPr>
          <w:spacing w:val="9"/>
          <w:w w:val="105"/>
          <w:szCs w:val="22"/>
        </w:rPr>
        <w:t>m</w:t>
      </w:r>
      <w:r w:rsidRPr="005D110D">
        <w:rPr>
          <w:w w:val="105"/>
          <w:szCs w:val="22"/>
        </w:rPr>
        <w:t>ponents</w:t>
      </w:r>
      <w:r w:rsidRPr="005D110D">
        <w:rPr>
          <w:spacing w:val="-19"/>
          <w:w w:val="105"/>
          <w:szCs w:val="22"/>
        </w:rPr>
        <w:t xml:space="preserve"> </w:t>
      </w:r>
      <w:r w:rsidRPr="005D110D">
        <w:rPr>
          <w:w w:val="105"/>
          <w:szCs w:val="22"/>
        </w:rPr>
        <w:t>and</w:t>
      </w:r>
      <w:r w:rsidRPr="005D110D">
        <w:rPr>
          <w:spacing w:val="-14"/>
          <w:w w:val="105"/>
          <w:szCs w:val="22"/>
        </w:rPr>
        <w:t xml:space="preserve"> </w:t>
      </w:r>
      <w:r w:rsidRPr="005D110D">
        <w:rPr>
          <w:spacing w:val="-7"/>
          <w:w w:val="105"/>
          <w:szCs w:val="22"/>
        </w:rPr>
        <w:t>i</w:t>
      </w:r>
      <w:r w:rsidRPr="005D110D">
        <w:rPr>
          <w:w w:val="105"/>
          <w:szCs w:val="22"/>
        </w:rPr>
        <w:t>n</w:t>
      </w:r>
      <w:r w:rsidRPr="005D110D">
        <w:rPr>
          <w:spacing w:val="-4"/>
          <w:w w:val="105"/>
          <w:szCs w:val="22"/>
        </w:rPr>
        <w:t>s</w:t>
      </w:r>
      <w:r w:rsidRPr="005D110D">
        <w:rPr>
          <w:w w:val="105"/>
          <w:szCs w:val="22"/>
        </w:rPr>
        <w:t>tal</w:t>
      </w:r>
      <w:r w:rsidRPr="005D110D">
        <w:rPr>
          <w:spacing w:val="4"/>
          <w:w w:val="105"/>
          <w:szCs w:val="22"/>
        </w:rPr>
        <w:t>l</w:t>
      </w:r>
      <w:r w:rsidRPr="005D110D">
        <w:rPr>
          <w:w w:val="105"/>
          <w:szCs w:val="22"/>
        </w:rPr>
        <w:t>at</w:t>
      </w:r>
      <w:r w:rsidRPr="005D110D">
        <w:rPr>
          <w:spacing w:val="-10"/>
          <w:w w:val="105"/>
          <w:szCs w:val="22"/>
        </w:rPr>
        <w:t>i</w:t>
      </w:r>
      <w:r w:rsidRPr="005D110D">
        <w:rPr>
          <w:w w:val="105"/>
          <w:szCs w:val="22"/>
        </w:rPr>
        <w:t>on</w:t>
      </w:r>
      <w:r w:rsidRPr="005D110D">
        <w:rPr>
          <w:spacing w:val="-13"/>
          <w:w w:val="105"/>
          <w:szCs w:val="22"/>
        </w:rPr>
        <w:t xml:space="preserve"> </w:t>
      </w:r>
      <w:r w:rsidRPr="005D110D">
        <w:rPr>
          <w:spacing w:val="-4"/>
          <w:w w:val="105"/>
          <w:szCs w:val="22"/>
        </w:rPr>
        <w:t>s</w:t>
      </w:r>
      <w:r w:rsidRPr="005D110D">
        <w:rPr>
          <w:w w:val="105"/>
          <w:szCs w:val="22"/>
        </w:rPr>
        <w:t>ha</w:t>
      </w:r>
      <w:r w:rsidRPr="005D110D">
        <w:rPr>
          <w:spacing w:val="4"/>
          <w:w w:val="105"/>
          <w:szCs w:val="22"/>
        </w:rPr>
        <w:t>l</w:t>
      </w:r>
      <w:r w:rsidRPr="005D110D">
        <w:rPr>
          <w:w w:val="105"/>
          <w:szCs w:val="22"/>
        </w:rPr>
        <w:t>l</w:t>
      </w:r>
      <w:r w:rsidRPr="005D110D">
        <w:rPr>
          <w:spacing w:val="-11"/>
          <w:w w:val="105"/>
          <w:szCs w:val="22"/>
        </w:rPr>
        <w:t xml:space="preserve"> </w:t>
      </w:r>
      <w:r w:rsidRPr="005D110D">
        <w:rPr>
          <w:w w:val="105"/>
          <w:szCs w:val="22"/>
        </w:rPr>
        <w:t>co</w:t>
      </w:r>
      <w:r w:rsidRPr="005D110D">
        <w:rPr>
          <w:spacing w:val="10"/>
          <w:w w:val="105"/>
          <w:szCs w:val="22"/>
        </w:rPr>
        <w:t>m</w:t>
      </w:r>
      <w:r w:rsidRPr="005D110D">
        <w:rPr>
          <w:w w:val="105"/>
          <w:szCs w:val="22"/>
        </w:rPr>
        <w:t>p</w:t>
      </w:r>
      <w:r w:rsidRPr="005D110D">
        <w:rPr>
          <w:spacing w:val="4"/>
          <w:w w:val="105"/>
          <w:szCs w:val="22"/>
        </w:rPr>
        <w:t>l</w:t>
      </w:r>
      <w:r w:rsidRPr="005D110D">
        <w:rPr>
          <w:w w:val="105"/>
          <w:szCs w:val="22"/>
        </w:rPr>
        <w:t>y</w:t>
      </w:r>
      <w:r w:rsidRPr="005D110D">
        <w:rPr>
          <w:spacing w:val="-20"/>
          <w:w w:val="105"/>
          <w:szCs w:val="22"/>
        </w:rPr>
        <w:t xml:space="preserve"> </w:t>
      </w:r>
      <w:r w:rsidRPr="005D110D">
        <w:rPr>
          <w:spacing w:val="-4"/>
          <w:w w:val="105"/>
          <w:szCs w:val="22"/>
        </w:rPr>
        <w:t>w</w:t>
      </w:r>
      <w:r w:rsidRPr="005D110D">
        <w:rPr>
          <w:spacing w:val="-7"/>
          <w:w w:val="105"/>
          <w:szCs w:val="22"/>
        </w:rPr>
        <w:t>i</w:t>
      </w:r>
      <w:r w:rsidRPr="005D110D">
        <w:rPr>
          <w:w w:val="105"/>
          <w:szCs w:val="22"/>
        </w:rPr>
        <w:t>th</w:t>
      </w:r>
      <w:r w:rsidRPr="005D110D">
        <w:rPr>
          <w:spacing w:val="-15"/>
          <w:w w:val="105"/>
          <w:szCs w:val="22"/>
        </w:rPr>
        <w:t xml:space="preserve"> </w:t>
      </w:r>
      <w:r w:rsidRPr="005D110D">
        <w:rPr>
          <w:w w:val="105"/>
          <w:szCs w:val="22"/>
        </w:rPr>
        <w:t>Nat</w:t>
      </w:r>
      <w:r w:rsidRPr="005D110D">
        <w:rPr>
          <w:spacing w:val="-9"/>
          <w:w w:val="105"/>
          <w:szCs w:val="22"/>
        </w:rPr>
        <w:t>i</w:t>
      </w:r>
      <w:r w:rsidRPr="005D110D">
        <w:rPr>
          <w:w w:val="105"/>
          <w:szCs w:val="22"/>
        </w:rPr>
        <w:t>onal</w:t>
      </w:r>
      <w:r w:rsidRPr="005D110D">
        <w:rPr>
          <w:spacing w:val="-12"/>
          <w:w w:val="105"/>
          <w:szCs w:val="22"/>
        </w:rPr>
        <w:t xml:space="preserve"> </w:t>
      </w:r>
      <w:r w:rsidRPr="005D110D">
        <w:rPr>
          <w:w w:val="105"/>
          <w:szCs w:val="22"/>
        </w:rPr>
        <w:t>F</w:t>
      </w:r>
      <w:r w:rsidRPr="005D110D">
        <w:rPr>
          <w:spacing w:val="-8"/>
          <w:w w:val="105"/>
          <w:szCs w:val="22"/>
        </w:rPr>
        <w:t>i</w:t>
      </w:r>
      <w:r w:rsidRPr="005D110D">
        <w:rPr>
          <w:w w:val="105"/>
          <w:szCs w:val="22"/>
        </w:rPr>
        <w:t>re</w:t>
      </w:r>
      <w:r w:rsidRPr="005D110D">
        <w:rPr>
          <w:szCs w:val="22"/>
        </w:rPr>
        <w:t xml:space="preserve"> </w:t>
      </w:r>
      <w:r w:rsidRPr="005D110D">
        <w:rPr>
          <w:w w:val="105"/>
          <w:szCs w:val="22"/>
        </w:rPr>
        <w:t>Pro</w:t>
      </w:r>
      <w:r w:rsidRPr="005D110D">
        <w:rPr>
          <w:spacing w:val="-5"/>
          <w:w w:val="105"/>
          <w:szCs w:val="22"/>
        </w:rPr>
        <w:t>t</w:t>
      </w:r>
      <w:r w:rsidRPr="005D110D">
        <w:rPr>
          <w:w w:val="105"/>
          <w:szCs w:val="22"/>
        </w:rPr>
        <w:t>ect</w:t>
      </w:r>
      <w:r w:rsidRPr="005D110D">
        <w:rPr>
          <w:spacing w:val="-8"/>
          <w:w w:val="105"/>
          <w:szCs w:val="22"/>
        </w:rPr>
        <w:t>i</w:t>
      </w:r>
      <w:r w:rsidRPr="005D110D">
        <w:rPr>
          <w:w w:val="105"/>
          <w:szCs w:val="22"/>
        </w:rPr>
        <w:t>on</w:t>
      </w:r>
      <w:r w:rsidRPr="005D110D">
        <w:rPr>
          <w:spacing w:val="-19"/>
          <w:w w:val="105"/>
          <w:szCs w:val="22"/>
        </w:rPr>
        <w:t xml:space="preserve"> </w:t>
      </w:r>
      <w:r w:rsidRPr="005D110D">
        <w:rPr>
          <w:w w:val="105"/>
          <w:szCs w:val="22"/>
        </w:rPr>
        <w:t>A</w:t>
      </w:r>
      <w:r w:rsidRPr="005D110D">
        <w:rPr>
          <w:spacing w:val="-7"/>
          <w:w w:val="105"/>
          <w:szCs w:val="22"/>
        </w:rPr>
        <w:t>s</w:t>
      </w:r>
      <w:r w:rsidRPr="005D110D">
        <w:rPr>
          <w:spacing w:val="-4"/>
          <w:w w:val="105"/>
          <w:szCs w:val="22"/>
        </w:rPr>
        <w:t>s</w:t>
      </w:r>
      <w:r w:rsidRPr="005D110D">
        <w:rPr>
          <w:w w:val="105"/>
          <w:szCs w:val="22"/>
        </w:rPr>
        <w:t>oc</w:t>
      </w:r>
      <w:r w:rsidRPr="005D110D">
        <w:rPr>
          <w:spacing w:val="-5"/>
          <w:w w:val="105"/>
          <w:szCs w:val="22"/>
        </w:rPr>
        <w:t>i</w:t>
      </w:r>
      <w:r w:rsidRPr="005D110D">
        <w:rPr>
          <w:w w:val="105"/>
          <w:szCs w:val="22"/>
        </w:rPr>
        <w:t>at</w:t>
      </w:r>
      <w:r w:rsidRPr="005D110D">
        <w:rPr>
          <w:spacing w:val="-10"/>
          <w:w w:val="105"/>
          <w:szCs w:val="22"/>
        </w:rPr>
        <w:t>i</w:t>
      </w:r>
      <w:r w:rsidRPr="005D110D">
        <w:rPr>
          <w:w w:val="105"/>
          <w:szCs w:val="22"/>
        </w:rPr>
        <w:t>on</w:t>
      </w:r>
      <w:r w:rsidRPr="005D110D">
        <w:rPr>
          <w:spacing w:val="-18"/>
          <w:w w:val="105"/>
          <w:szCs w:val="22"/>
        </w:rPr>
        <w:t xml:space="preserve"> </w:t>
      </w:r>
      <w:r w:rsidRPr="005D110D">
        <w:rPr>
          <w:w w:val="105"/>
          <w:szCs w:val="22"/>
        </w:rPr>
        <w:t>(NFP</w:t>
      </w:r>
      <w:r w:rsidRPr="005D110D">
        <w:rPr>
          <w:spacing w:val="-5"/>
          <w:w w:val="105"/>
          <w:szCs w:val="22"/>
        </w:rPr>
        <w:t>A</w:t>
      </w:r>
      <w:r w:rsidRPr="005D110D">
        <w:rPr>
          <w:w w:val="105"/>
          <w:szCs w:val="22"/>
        </w:rPr>
        <w:t>)</w:t>
      </w:r>
      <w:r w:rsidRPr="005D110D">
        <w:rPr>
          <w:spacing w:val="-19"/>
          <w:w w:val="105"/>
          <w:szCs w:val="22"/>
        </w:rPr>
        <w:t xml:space="preserve"> </w:t>
      </w:r>
      <w:r w:rsidRPr="005D110D">
        <w:rPr>
          <w:w w:val="105"/>
          <w:szCs w:val="22"/>
        </w:rPr>
        <w:t>70.</w:t>
      </w:r>
    </w:p>
    <w:p w14:paraId="4B9AC392" w14:textId="77777777" w:rsidR="007D7942" w:rsidRPr="005D110D" w:rsidRDefault="007D7942" w:rsidP="007D7942">
      <w:pPr>
        <w:pStyle w:val="Paragraph"/>
        <w:rPr>
          <w:szCs w:val="22"/>
        </w:rPr>
      </w:pPr>
      <w:r w:rsidRPr="005D110D">
        <w:rPr>
          <w:szCs w:val="22"/>
        </w:rPr>
        <w:t>Manufacturer:</w:t>
      </w:r>
    </w:p>
    <w:p w14:paraId="0B4D8A2A" w14:textId="77777777" w:rsidR="007D7942" w:rsidRPr="005D110D" w:rsidRDefault="007D7942" w:rsidP="007D7942">
      <w:pPr>
        <w:pStyle w:val="Paragraph1"/>
        <w:tabs>
          <w:tab w:val="num" w:pos="1440"/>
        </w:tabs>
        <w:rPr>
          <w:szCs w:val="22"/>
        </w:rPr>
      </w:pPr>
      <w:r w:rsidRPr="005D110D">
        <w:rPr>
          <w:szCs w:val="22"/>
        </w:rPr>
        <w:t>Manufacturer shall have not less than five years of experience producing substantially similar equipment to that required and, upon request, shall submit documentation of not less than five installations in satisfactory operation for not less than five years in the United States.</w:t>
      </w:r>
    </w:p>
    <w:p w14:paraId="04D24E71" w14:textId="0366E77F" w:rsidR="007D7942" w:rsidRPr="007D7942" w:rsidRDefault="007D7942" w:rsidP="007D7942">
      <w:pPr>
        <w:pStyle w:val="Paragraph1"/>
      </w:pPr>
      <w:r w:rsidRPr="005D110D">
        <w:rPr>
          <w:w w:val="105"/>
        </w:rPr>
        <w:t>Wiring Devices</w:t>
      </w:r>
      <w:r w:rsidRPr="005D110D">
        <w:rPr>
          <w:spacing w:val="-14"/>
          <w:w w:val="105"/>
        </w:rPr>
        <w:t xml:space="preserve"> </w:t>
      </w:r>
      <w:r w:rsidR="00D77CCD">
        <w:rPr>
          <w:spacing w:val="-14"/>
          <w:w w:val="105"/>
        </w:rPr>
        <w:t xml:space="preserve">and Wall Plates </w:t>
      </w:r>
      <w:r w:rsidRPr="005D110D">
        <w:rPr>
          <w:spacing w:val="-4"/>
          <w:w w:val="105"/>
        </w:rPr>
        <w:t>s</w:t>
      </w:r>
      <w:r w:rsidRPr="005D110D">
        <w:rPr>
          <w:w w:val="105"/>
        </w:rPr>
        <w:t>ha</w:t>
      </w:r>
      <w:r w:rsidRPr="005D110D">
        <w:rPr>
          <w:spacing w:val="4"/>
          <w:w w:val="105"/>
        </w:rPr>
        <w:t>l</w:t>
      </w:r>
      <w:r w:rsidRPr="005D110D">
        <w:rPr>
          <w:w w:val="105"/>
        </w:rPr>
        <w:t>l</w:t>
      </w:r>
      <w:r w:rsidRPr="005D110D">
        <w:rPr>
          <w:spacing w:val="-11"/>
          <w:w w:val="105"/>
        </w:rPr>
        <w:t xml:space="preserve"> </w:t>
      </w:r>
      <w:r w:rsidRPr="005D110D">
        <w:rPr>
          <w:w w:val="105"/>
        </w:rPr>
        <w:t>be</w:t>
      </w:r>
      <w:r w:rsidRPr="005D110D">
        <w:rPr>
          <w:spacing w:val="-14"/>
          <w:w w:val="105"/>
        </w:rPr>
        <w:t xml:space="preserve"> </w:t>
      </w:r>
      <w:r w:rsidRPr="005D110D">
        <w:rPr>
          <w:w w:val="105"/>
        </w:rPr>
        <w:t>product</w:t>
      </w:r>
      <w:r w:rsidRPr="005D110D">
        <w:rPr>
          <w:spacing w:val="-12"/>
          <w:w w:val="105"/>
        </w:rPr>
        <w:t xml:space="preserve"> </w:t>
      </w:r>
      <w:r w:rsidRPr="005D110D">
        <w:rPr>
          <w:w w:val="105"/>
        </w:rPr>
        <w:t>of</w:t>
      </w:r>
      <w:r w:rsidRPr="005D110D">
        <w:t xml:space="preserve"> a </w:t>
      </w:r>
      <w:r w:rsidRPr="005D110D">
        <w:rPr>
          <w:w w:val="105"/>
        </w:rPr>
        <w:t>s</w:t>
      </w:r>
      <w:r w:rsidRPr="005D110D">
        <w:rPr>
          <w:spacing w:val="-8"/>
          <w:w w:val="105"/>
        </w:rPr>
        <w:t>i</w:t>
      </w:r>
      <w:r w:rsidRPr="005D110D">
        <w:rPr>
          <w:w w:val="105"/>
        </w:rPr>
        <w:t>ng</w:t>
      </w:r>
      <w:r w:rsidRPr="005D110D">
        <w:rPr>
          <w:spacing w:val="4"/>
          <w:w w:val="105"/>
        </w:rPr>
        <w:t>l</w:t>
      </w:r>
      <w:r w:rsidRPr="005D110D">
        <w:rPr>
          <w:w w:val="105"/>
        </w:rPr>
        <w:t>e</w:t>
      </w:r>
      <w:r w:rsidRPr="005D110D">
        <w:rPr>
          <w:spacing w:val="-35"/>
          <w:w w:val="105"/>
        </w:rPr>
        <w:t xml:space="preserve"> </w:t>
      </w:r>
      <w:r w:rsidRPr="005D110D">
        <w:rPr>
          <w:spacing w:val="8"/>
          <w:w w:val="105"/>
        </w:rPr>
        <w:t>m</w:t>
      </w:r>
      <w:r w:rsidRPr="005D110D">
        <w:rPr>
          <w:w w:val="105"/>
        </w:rPr>
        <w:t>anufa</w:t>
      </w:r>
      <w:r w:rsidRPr="005D110D">
        <w:rPr>
          <w:spacing w:val="4"/>
          <w:w w:val="105"/>
        </w:rPr>
        <w:t>c</w:t>
      </w:r>
      <w:r w:rsidRPr="005D110D">
        <w:rPr>
          <w:w w:val="105"/>
        </w:rPr>
        <w:t>turer.</w:t>
      </w:r>
    </w:p>
    <w:p w14:paraId="58FE3625" w14:textId="77777777" w:rsidR="007D7942" w:rsidRPr="005D110D" w:rsidRDefault="007D7942" w:rsidP="00C01432">
      <w:pPr>
        <w:pStyle w:val="ArticleHeading"/>
      </w:pPr>
      <w:r w:rsidRPr="005D110D">
        <w:t>DELIVERY, STORAGE, AND HANDLING</w:t>
      </w:r>
    </w:p>
    <w:p w14:paraId="2B70163D" w14:textId="77777777" w:rsidR="007D7942" w:rsidRPr="005D110D" w:rsidRDefault="007D7942" w:rsidP="007D7942">
      <w:pPr>
        <w:pStyle w:val="Paragraph"/>
        <w:rPr>
          <w:szCs w:val="22"/>
        </w:rPr>
      </w:pPr>
      <w:r w:rsidRPr="005D110D">
        <w:rPr>
          <w:szCs w:val="22"/>
        </w:rPr>
        <w:t>Deliver materials to site in unopened cartons or bundles as appropriate, clearly identified with manufacturer's name, Underwriter's or other approved label, grade or identifying number.</w:t>
      </w:r>
    </w:p>
    <w:p w14:paraId="0611F21D" w14:textId="77777777" w:rsidR="007D7942" w:rsidRPr="005D110D" w:rsidRDefault="007D7942" w:rsidP="007D7942">
      <w:pPr>
        <w:pStyle w:val="Paragraph"/>
        <w:rPr>
          <w:szCs w:val="22"/>
        </w:rPr>
      </w:pPr>
      <w:r w:rsidRPr="005D110D">
        <w:rPr>
          <w:szCs w:val="22"/>
        </w:rPr>
        <w:t>Store in a clean, dry space.  Maintain factory wrapping or provide an additional heavy canvas or heavy plastic cover to protect units from dirt, water, construction debris, and traffic.</w:t>
      </w:r>
    </w:p>
    <w:p w14:paraId="0E1A7737" w14:textId="31183FE8" w:rsidR="007D7942" w:rsidRDefault="00C01432" w:rsidP="007D7942">
      <w:pPr>
        <w:pStyle w:val="PartDesignation"/>
      </w:pPr>
      <w:r>
        <w:t>–</w:t>
      </w:r>
      <w:r w:rsidR="007D7942">
        <w:t>products</w:t>
      </w:r>
    </w:p>
    <w:p w14:paraId="73DA9EF9" w14:textId="6105C415" w:rsidR="00C01432" w:rsidRDefault="00C01432" w:rsidP="00C01432">
      <w:pPr>
        <w:pStyle w:val="ArticleHeading"/>
      </w:pPr>
      <w:r w:rsidRPr="00C01432">
        <w:t>manufacturers</w:t>
      </w:r>
    </w:p>
    <w:p w14:paraId="6D6B3B73" w14:textId="77777777" w:rsidR="00C01432" w:rsidRPr="005D110D" w:rsidRDefault="00C01432" w:rsidP="00C01432">
      <w:pPr>
        <w:pStyle w:val="Paragraph"/>
      </w:pPr>
      <w:r w:rsidRPr="005D110D">
        <w:t>Subject to compliance with requirements, provide products by the</w:t>
      </w:r>
      <w:r w:rsidRPr="005D110D">
        <w:rPr>
          <w:spacing w:val="-11"/>
        </w:rPr>
        <w:t xml:space="preserve"> </w:t>
      </w:r>
      <w:r w:rsidRPr="005D110D">
        <w:t>following:</w:t>
      </w:r>
    </w:p>
    <w:p w14:paraId="7FF3E31C" w14:textId="4A5C97C4" w:rsidR="00DE08FC" w:rsidRDefault="00DE08FC" w:rsidP="00C01432">
      <w:pPr>
        <w:pStyle w:val="Paragraph1"/>
      </w:pPr>
      <w:r>
        <w:t>Eaton</w:t>
      </w:r>
    </w:p>
    <w:p w14:paraId="06E24B2D" w14:textId="77777777" w:rsidR="00C01432" w:rsidRPr="005D110D" w:rsidRDefault="00C01432" w:rsidP="00C01432">
      <w:pPr>
        <w:pStyle w:val="Paragraph1"/>
      </w:pPr>
      <w:r w:rsidRPr="005D110D">
        <w:t>Hubbell</w:t>
      </w:r>
    </w:p>
    <w:p w14:paraId="326AC4D5" w14:textId="77777777" w:rsidR="00C01432" w:rsidRPr="005D110D" w:rsidRDefault="00C01432" w:rsidP="00C01432">
      <w:pPr>
        <w:pStyle w:val="Paragraph1"/>
      </w:pPr>
      <w:r w:rsidRPr="005D110D">
        <w:lastRenderedPageBreak/>
        <w:t>Leviton</w:t>
      </w:r>
    </w:p>
    <w:p w14:paraId="450DDDCB" w14:textId="6BD10FC0" w:rsidR="00C01432" w:rsidRPr="005D110D" w:rsidRDefault="0074634B" w:rsidP="00C01432">
      <w:pPr>
        <w:pStyle w:val="Paragraph1"/>
      </w:pPr>
      <w:r>
        <w:t>P &amp; S</w:t>
      </w:r>
    </w:p>
    <w:p w14:paraId="00D8347D" w14:textId="0091EE7A" w:rsidR="00C01432" w:rsidRDefault="00C01432" w:rsidP="00C01432">
      <w:pPr>
        <w:pStyle w:val="Paragraph"/>
      </w:pPr>
      <w:r w:rsidRPr="005D110D">
        <w:t>The listing of specific manufacturers above does not imply acceptance of their products that do not meet the specified ratings, features and functions. Manufacturers listed above are not relieved from meeting these specifications in their</w:t>
      </w:r>
      <w:r w:rsidRPr="005D110D">
        <w:rPr>
          <w:spacing w:val="-5"/>
        </w:rPr>
        <w:t xml:space="preserve"> </w:t>
      </w:r>
      <w:r w:rsidRPr="005D110D">
        <w:t>entirety.</w:t>
      </w:r>
    </w:p>
    <w:p w14:paraId="797666EE" w14:textId="421549B4" w:rsidR="00C01432" w:rsidRDefault="00C01432" w:rsidP="00C01432">
      <w:pPr>
        <w:pStyle w:val="ArticleHeading"/>
      </w:pPr>
      <w:r>
        <w:t>general wiring-device requirements</w:t>
      </w:r>
    </w:p>
    <w:p w14:paraId="2D05AAE7" w14:textId="77777777" w:rsidR="00A7675F" w:rsidRPr="005D110D" w:rsidRDefault="00A7675F" w:rsidP="00A7675F">
      <w:pPr>
        <w:pStyle w:val="Paragraph"/>
      </w:pPr>
      <w:r w:rsidRPr="005D110D">
        <w:t>Wiring Devices, Components, and Accessories: Listed and labeled as defined in NFPA 70, by a qualified testing agency, and marked for intended location and application.</w:t>
      </w:r>
    </w:p>
    <w:p w14:paraId="4D7A361F" w14:textId="77777777" w:rsidR="00A7675F" w:rsidRDefault="00A7675F" w:rsidP="00A7675F">
      <w:pPr>
        <w:pStyle w:val="Paragraph"/>
      </w:pPr>
      <w:r w:rsidRPr="005D110D">
        <w:t>Comply with NFPA 70.</w:t>
      </w:r>
    </w:p>
    <w:p w14:paraId="0223E308" w14:textId="471DDE26" w:rsidR="00D77CCD" w:rsidRPr="005D110D" w:rsidRDefault="00D77CCD" w:rsidP="00A7675F">
      <w:pPr>
        <w:pStyle w:val="Paragraph"/>
      </w:pPr>
      <w:r>
        <w:t>Comply with NEMA WD 1.</w:t>
      </w:r>
    </w:p>
    <w:p w14:paraId="647B2F6B" w14:textId="77777777" w:rsidR="00A7675F" w:rsidRPr="005D110D" w:rsidRDefault="00A7675F" w:rsidP="00A7675F">
      <w:pPr>
        <w:pStyle w:val="Paragraph"/>
      </w:pPr>
      <w:r w:rsidRPr="005D110D">
        <w:t>Devices that are manufactured for use with modular plug-in connectors may be substituted under the following conditions:</w:t>
      </w:r>
    </w:p>
    <w:p w14:paraId="64D71088" w14:textId="7C5FA527" w:rsidR="00A7675F" w:rsidRPr="005D110D" w:rsidRDefault="00A7675F" w:rsidP="00A7675F">
      <w:pPr>
        <w:pStyle w:val="Paragraph1"/>
        <w:tabs>
          <w:tab w:val="num" w:pos="1440"/>
        </w:tabs>
      </w:pPr>
      <w:r w:rsidRPr="005D110D">
        <w:t xml:space="preserve">Connectors shall comply with UL 2459 </w:t>
      </w:r>
      <w:r w:rsidR="00D77CCD">
        <w:t>and shall be made with stranded</w:t>
      </w:r>
      <w:r w:rsidRPr="005D110D">
        <w:t xml:space="preserve"> building wire.</w:t>
      </w:r>
    </w:p>
    <w:p w14:paraId="29A22A7E" w14:textId="261650A2" w:rsidR="00A7675F" w:rsidRPr="005D110D" w:rsidRDefault="00A7675F" w:rsidP="00A7675F">
      <w:pPr>
        <w:pStyle w:val="Paragraph1"/>
        <w:tabs>
          <w:tab w:val="num" w:pos="1440"/>
        </w:tabs>
      </w:pPr>
      <w:r w:rsidRPr="005D110D">
        <w:t xml:space="preserve">Devices shall comply with the requirements </w:t>
      </w:r>
      <w:r w:rsidR="00D77CCD">
        <w:t>of</w:t>
      </w:r>
      <w:r w:rsidRPr="005D110D">
        <w:t xml:space="preserve"> this Section.</w:t>
      </w:r>
    </w:p>
    <w:p w14:paraId="4D44EBA1" w14:textId="77777777" w:rsidR="00A7675F" w:rsidRPr="005D110D" w:rsidRDefault="00A7675F" w:rsidP="00A7675F">
      <w:pPr>
        <w:pStyle w:val="Paragraph"/>
      </w:pPr>
      <w:r w:rsidRPr="005D110D">
        <w:t>Devices for Owner-Furnished Equipment:</w:t>
      </w:r>
    </w:p>
    <w:p w14:paraId="681060BE" w14:textId="77777777" w:rsidR="00A7675F" w:rsidRPr="005D110D" w:rsidRDefault="00A7675F" w:rsidP="00A7675F">
      <w:pPr>
        <w:pStyle w:val="Paragraph1"/>
        <w:tabs>
          <w:tab w:val="num" w:pos="1440"/>
        </w:tabs>
      </w:pPr>
      <w:r w:rsidRPr="005D110D">
        <w:t xml:space="preserve">Receptacles: Match </w:t>
      </w:r>
      <w:proofErr w:type="gramStart"/>
      <w:r w:rsidRPr="005D110D">
        <w:t>plug</w:t>
      </w:r>
      <w:proofErr w:type="gramEnd"/>
      <w:r w:rsidRPr="005D110D">
        <w:t xml:space="preserve"> configurations.</w:t>
      </w:r>
    </w:p>
    <w:p w14:paraId="575C5062" w14:textId="77777777" w:rsidR="00A7675F" w:rsidRPr="005D110D" w:rsidRDefault="00A7675F" w:rsidP="00A7675F">
      <w:pPr>
        <w:pStyle w:val="Paragraph1"/>
        <w:tabs>
          <w:tab w:val="num" w:pos="1440"/>
        </w:tabs>
      </w:pPr>
      <w:r w:rsidRPr="005D110D">
        <w:t>Cord and Plug Sets: Match equipment requirements.</w:t>
      </w:r>
    </w:p>
    <w:p w14:paraId="6D6EDED9" w14:textId="354F7FB1" w:rsidR="003A123E" w:rsidRPr="00A44D98" w:rsidRDefault="003A123E" w:rsidP="003A123E">
      <w:pPr>
        <w:pBdr>
          <w:top w:val="double" w:sz="6" w:space="1" w:color="auto"/>
          <w:left w:val="double" w:sz="6" w:space="1" w:color="auto"/>
          <w:bottom w:val="double" w:sz="6" w:space="0" w:color="auto"/>
          <w:right w:val="double" w:sz="6" w:space="1" w:color="auto"/>
        </w:pBdr>
        <w:suppressAutoHyphens/>
        <w:spacing w:before="240"/>
        <w:jc w:val="both"/>
      </w:pPr>
      <w:r w:rsidRPr="00A44D98">
        <w:t xml:space="preserve">NTS: Retain </w:t>
      </w:r>
      <w:r>
        <w:t>sections 2.2 thru 2.1</w:t>
      </w:r>
      <w:r w:rsidR="001A46EA">
        <w:t>3</w:t>
      </w:r>
      <w:r w:rsidRPr="00A44D98">
        <w:t xml:space="preserve"> as required.</w:t>
      </w:r>
      <w:r>
        <w:t xml:space="preserve">  Delete sections not required.</w:t>
      </w:r>
    </w:p>
    <w:p w14:paraId="6538A9AE" w14:textId="1DCBA5B7" w:rsidR="00A7675F" w:rsidRDefault="00A7675F" w:rsidP="00A7675F">
      <w:pPr>
        <w:pStyle w:val="ArticleHeading"/>
      </w:pPr>
      <w:r>
        <w:t>straight-blade devices</w:t>
      </w:r>
      <w:r w:rsidR="00D77CCD">
        <w:t>, 125 V, 20A</w:t>
      </w:r>
    </w:p>
    <w:p w14:paraId="6CE8617E" w14:textId="60370A63" w:rsidR="00A7675F" w:rsidRPr="00A7675F" w:rsidRDefault="00A7675F" w:rsidP="00A7675F">
      <w:pPr>
        <w:pStyle w:val="Paragraph"/>
      </w:pPr>
      <w:r w:rsidRPr="00A7675F">
        <w:t>Duplex Receptacles: 125 V, 20 A; comply with NEMA WD 1, NEMA WD 6 Configuration 5-20R, UL 498, and FS W-C-596.</w:t>
      </w:r>
    </w:p>
    <w:p w14:paraId="089F3AE4" w14:textId="77777777" w:rsidR="00A7675F" w:rsidRDefault="00A7675F" w:rsidP="00A7675F">
      <w:pPr>
        <w:pStyle w:val="Paragraph1"/>
      </w:pPr>
      <w:r>
        <w:t>Products: Subject to compliance with requirements, provide one of the following:</w:t>
      </w:r>
    </w:p>
    <w:p w14:paraId="5D3717F0" w14:textId="40394112" w:rsidR="00DE08FC" w:rsidRDefault="00DE08FC" w:rsidP="00A7675F">
      <w:pPr>
        <w:pStyle w:val="Subparagrapha"/>
      </w:pPr>
      <w:r>
        <w:t xml:space="preserve">Eaton: </w:t>
      </w:r>
      <w:r w:rsidR="00D93FD8">
        <w:t>AH5351 (single), AH5352 (duplex).</w:t>
      </w:r>
    </w:p>
    <w:p w14:paraId="5FA30189" w14:textId="6B313114" w:rsidR="00A7675F" w:rsidRDefault="001A46EA" w:rsidP="00A7675F">
      <w:pPr>
        <w:pStyle w:val="Subparagrapha"/>
      </w:pPr>
      <w:r>
        <w:t>Hubbell: HBL</w:t>
      </w:r>
      <w:r w:rsidR="00A7675F">
        <w:t>5351 (single), HBL5352 (duplex).</w:t>
      </w:r>
    </w:p>
    <w:p w14:paraId="0B7ED444" w14:textId="62AF4E91" w:rsidR="00A7675F" w:rsidRDefault="00A7675F" w:rsidP="00A7675F">
      <w:pPr>
        <w:pStyle w:val="Subparagrapha"/>
      </w:pPr>
      <w:r>
        <w:t xml:space="preserve">Leviton: </w:t>
      </w:r>
      <w:r w:rsidR="001A46EA">
        <w:t>5361</w:t>
      </w:r>
      <w:r>
        <w:t xml:space="preserve"> (single), 5352 (</w:t>
      </w:r>
      <w:r w:rsidR="00D93FD8">
        <w:t>duplex</w:t>
      </w:r>
      <w:r>
        <w:t>).</w:t>
      </w:r>
    </w:p>
    <w:p w14:paraId="1BA1F2F9" w14:textId="5C10432E" w:rsidR="00A7675F" w:rsidRDefault="0074634B" w:rsidP="00A7675F">
      <w:pPr>
        <w:pStyle w:val="Subparagrapha"/>
      </w:pPr>
      <w:r>
        <w:t>P &amp; S</w:t>
      </w:r>
      <w:r w:rsidR="00A7675F">
        <w:t>: 5361 (single), 5362 (duplex).</w:t>
      </w:r>
    </w:p>
    <w:p w14:paraId="5EB42A7F" w14:textId="56FA3945" w:rsidR="00A7675F" w:rsidRDefault="00A7675F" w:rsidP="00A7675F">
      <w:pPr>
        <w:pStyle w:val="ArticleHeading"/>
      </w:pPr>
      <w:r>
        <w:t>gfci receptacles</w:t>
      </w:r>
      <w:r w:rsidR="00344E48">
        <w:t>, 125 V, 20 A</w:t>
      </w:r>
    </w:p>
    <w:p w14:paraId="2DF323A1" w14:textId="4DBAF5FC" w:rsidR="00A7675F" w:rsidRPr="00A7675F" w:rsidRDefault="00A7675F" w:rsidP="00A7675F">
      <w:pPr>
        <w:pStyle w:val="Paragraph"/>
      </w:pPr>
      <w:r w:rsidRPr="00A7675F">
        <w:t>General Description</w:t>
      </w:r>
      <w:r w:rsidR="0074634B">
        <w:t xml:space="preserve"> for dry location</w:t>
      </w:r>
      <w:r w:rsidRPr="00A7675F">
        <w:t>:</w:t>
      </w:r>
    </w:p>
    <w:p w14:paraId="459A306E" w14:textId="77777777" w:rsidR="00A7675F" w:rsidRDefault="00A7675F" w:rsidP="00A7675F">
      <w:pPr>
        <w:pStyle w:val="Paragraph1"/>
      </w:pPr>
      <w:r>
        <w:t>125 V, 20 A, straight blade, feed-through type.</w:t>
      </w:r>
    </w:p>
    <w:p w14:paraId="4740CA5F" w14:textId="77777777" w:rsidR="00A7675F" w:rsidRDefault="00A7675F" w:rsidP="00A7675F">
      <w:pPr>
        <w:pStyle w:val="Paragraph1"/>
      </w:pPr>
      <w:r>
        <w:t>Comply with NEMA WD 1, NEMA WD 6 Configuration 5-20R, UL 498, UL 943 Class A, and FS W-C-596.</w:t>
      </w:r>
    </w:p>
    <w:p w14:paraId="1BA07342" w14:textId="77777777" w:rsidR="00A7675F" w:rsidRDefault="00A7675F" w:rsidP="00A7675F">
      <w:pPr>
        <w:pStyle w:val="Paragraph1"/>
      </w:pPr>
      <w:r>
        <w:t>Include indicator light that shows when the GFCI has malfunctioned and no longer provides proper GFCI protection.</w:t>
      </w:r>
    </w:p>
    <w:p w14:paraId="619772F9" w14:textId="33BB7C80" w:rsidR="00D93FD8" w:rsidRDefault="00D93FD8" w:rsidP="00D93FD8">
      <w:pPr>
        <w:pStyle w:val="Subparagrapha"/>
      </w:pPr>
      <w:r>
        <w:t>Eaton: SGF20.</w:t>
      </w:r>
    </w:p>
    <w:p w14:paraId="24A04673" w14:textId="72DEC72B" w:rsidR="00D93FD8" w:rsidRPr="00890D08" w:rsidRDefault="00D93FD8" w:rsidP="00D93FD8">
      <w:pPr>
        <w:pStyle w:val="Subparagrapha"/>
      </w:pPr>
      <w:r w:rsidRPr="00890D08">
        <w:t>Hubbell:</w:t>
      </w:r>
      <w:r w:rsidR="00163B75">
        <w:t xml:space="preserve"> GF20.</w:t>
      </w:r>
    </w:p>
    <w:p w14:paraId="3AA4025B" w14:textId="64EFDB50" w:rsidR="00D93FD8" w:rsidRPr="00890D08" w:rsidRDefault="00D93FD8" w:rsidP="00D93FD8">
      <w:pPr>
        <w:pStyle w:val="Subparagrapha"/>
      </w:pPr>
      <w:r w:rsidRPr="00890D08">
        <w:t>Leviton:</w:t>
      </w:r>
      <w:r w:rsidR="00764A6C">
        <w:t xml:space="preserve"> G536</w:t>
      </w:r>
      <w:r w:rsidR="0055304E" w:rsidRPr="00890D08">
        <w:t>2.</w:t>
      </w:r>
    </w:p>
    <w:p w14:paraId="01927A6D" w14:textId="28CA45A6" w:rsidR="00D93FD8" w:rsidRPr="00890D08" w:rsidRDefault="0074634B" w:rsidP="00D93FD8">
      <w:pPr>
        <w:pStyle w:val="Subparagrapha"/>
      </w:pPr>
      <w:r w:rsidRPr="00890D08">
        <w:lastRenderedPageBreak/>
        <w:t>P &amp; S</w:t>
      </w:r>
      <w:r w:rsidR="00D93FD8" w:rsidRPr="00890D08">
        <w:t>:</w:t>
      </w:r>
      <w:r w:rsidR="00163B75">
        <w:t xml:space="preserve"> 2097TR</w:t>
      </w:r>
    </w:p>
    <w:p w14:paraId="2C0E022B" w14:textId="187BB3D1" w:rsidR="00D93FD8" w:rsidRDefault="00D93FD8" w:rsidP="00D93FD8">
      <w:pPr>
        <w:pStyle w:val="Paragraph"/>
      </w:pPr>
      <w:r>
        <w:t>General Description</w:t>
      </w:r>
      <w:r w:rsidR="0074634B">
        <w:t xml:space="preserve"> for wet location</w:t>
      </w:r>
      <w:r>
        <w:t>:</w:t>
      </w:r>
    </w:p>
    <w:p w14:paraId="0CA7BA8D" w14:textId="20E3EC7B" w:rsidR="00D93FD8" w:rsidRDefault="00D93FD8" w:rsidP="00D93FD8">
      <w:pPr>
        <w:pStyle w:val="Paragraph1"/>
      </w:pPr>
      <w:r>
        <w:t>125 V, 20 A, straight blade, feed-through type</w:t>
      </w:r>
      <w:r w:rsidR="00655029">
        <w:t>, weather-proof</w:t>
      </w:r>
      <w:r>
        <w:t>.</w:t>
      </w:r>
    </w:p>
    <w:p w14:paraId="19AC6DAB" w14:textId="77777777" w:rsidR="00D93FD8" w:rsidRDefault="00D93FD8" w:rsidP="00D93FD8">
      <w:pPr>
        <w:pStyle w:val="Paragraph1"/>
      </w:pPr>
      <w:r>
        <w:t>Comply with NEMA WD 1, NEMA WD 6 Configuration 5-20R, UL 498, UL 943 Class A, and FS W-C-596.</w:t>
      </w:r>
    </w:p>
    <w:p w14:paraId="06F806AD" w14:textId="77777777" w:rsidR="00D93FD8" w:rsidRDefault="00D93FD8" w:rsidP="00D93FD8">
      <w:pPr>
        <w:pStyle w:val="Paragraph1"/>
      </w:pPr>
      <w:r>
        <w:t>Include indicator light that shows when the GFCI has malfunctioned and no longer provides proper GFCI protection.</w:t>
      </w:r>
    </w:p>
    <w:p w14:paraId="7424CE3F" w14:textId="62F3EB0C" w:rsidR="00D93FD8" w:rsidRDefault="00D93FD8" w:rsidP="00D93FD8">
      <w:pPr>
        <w:pStyle w:val="Subparagrapha"/>
      </w:pPr>
      <w:r>
        <w:t xml:space="preserve">Eaton: </w:t>
      </w:r>
      <w:r w:rsidR="00655029">
        <w:t>WR</w:t>
      </w:r>
      <w:r>
        <w:t>SGF20.</w:t>
      </w:r>
    </w:p>
    <w:p w14:paraId="430937F4" w14:textId="14E26B58" w:rsidR="00D93FD8" w:rsidRPr="00764A6C" w:rsidRDefault="00D93FD8" w:rsidP="00D93FD8">
      <w:pPr>
        <w:pStyle w:val="Subparagrapha"/>
      </w:pPr>
      <w:r w:rsidRPr="00764A6C">
        <w:t>Hubbell:</w:t>
      </w:r>
      <w:r w:rsidR="00764A6C">
        <w:t xml:space="preserve"> GFTR20.</w:t>
      </w:r>
    </w:p>
    <w:p w14:paraId="53B4693A" w14:textId="14582725" w:rsidR="00D93FD8" w:rsidRPr="00764A6C" w:rsidRDefault="00D93FD8" w:rsidP="00D93FD8">
      <w:pPr>
        <w:pStyle w:val="Subparagrapha"/>
      </w:pPr>
      <w:r w:rsidRPr="00764A6C">
        <w:t>Leviton:</w:t>
      </w:r>
      <w:r w:rsidR="00764A6C">
        <w:t xml:space="preserve"> G5362-WT</w:t>
      </w:r>
    </w:p>
    <w:p w14:paraId="0A34DF3B" w14:textId="305B114F" w:rsidR="00D93FD8" w:rsidRPr="00764A6C" w:rsidRDefault="0074634B" w:rsidP="00D93FD8">
      <w:pPr>
        <w:pStyle w:val="Subparagrapha"/>
      </w:pPr>
      <w:r w:rsidRPr="00764A6C">
        <w:t>P &amp; S</w:t>
      </w:r>
      <w:r w:rsidR="00D93FD8" w:rsidRPr="00764A6C">
        <w:t>:</w:t>
      </w:r>
      <w:r w:rsidR="00764A6C">
        <w:t xml:space="preserve"> 2097TRWR</w:t>
      </w:r>
    </w:p>
    <w:p w14:paraId="5AE24E67" w14:textId="48E8939B" w:rsidR="00DB057D" w:rsidRDefault="00DB057D" w:rsidP="00A7675F">
      <w:pPr>
        <w:pStyle w:val="ArticleHeading"/>
      </w:pPr>
      <w:r>
        <w:t>hazardous (classified) location receptacles.</w:t>
      </w:r>
    </w:p>
    <w:p w14:paraId="5EC93C69" w14:textId="77777777" w:rsidR="00DB057D" w:rsidRDefault="00DB057D" w:rsidP="00DB057D">
      <w:pPr>
        <w:pStyle w:val="Paragraph"/>
      </w:pPr>
      <w:r>
        <w:t>Description: Pin and sleeve receptacle with matching connector.</w:t>
      </w:r>
    </w:p>
    <w:p w14:paraId="36E6A22E" w14:textId="4B8C5BA4" w:rsidR="00DB057D" w:rsidRDefault="00DB057D" w:rsidP="00DB057D">
      <w:pPr>
        <w:pStyle w:val="Paragraph1"/>
      </w:pPr>
      <w:r>
        <w:t xml:space="preserve">Class I., Division: </w:t>
      </w:r>
      <w:r w:rsidR="004B56F8">
        <w:t>Refer to Drawings for requirement(s).</w:t>
      </w:r>
    </w:p>
    <w:p w14:paraId="4EE501F3" w14:textId="5E6DA233" w:rsidR="00DB057D" w:rsidRDefault="00DB057D" w:rsidP="00DB057D">
      <w:pPr>
        <w:pStyle w:val="Paragraph1"/>
      </w:pPr>
      <w:r>
        <w:t xml:space="preserve">Class II, Division: </w:t>
      </w:r>
      <w:r w:rsidR="004B56F8">
        <w:t>Refer to Drawings for requirement(s).</w:t>
      </w:r>
    </w:p>
    <w:p w14:paraId="31E9D07D" w14:textId="77777777" w:rsidR="004B56F8" w:rsidRDefault="004B56F8" w:rsidP="004B56F8">
      <w:pPr>
        <w:pStyle w:val="Paragraph1"/>
      </w:pPr>
      <w:r>
        <w:t>Voltage: Refer to Drawings for requirement(s).</w:t>
      </w:r>
    </w:p>
    <w:p w14:paraId="71F01A9B" w14:textId="76934FA6" w:rsidR="004B56F8" w:rsidRDefault="004B56F8" w:rsidP="004B56F8">
      <w:pPr>
        <w:pStyle w:val="Paragraph1"/>
      </w:pPr>
      <w:r>
        <w:t>Amperage: Refer to Drawings for requirement(s).</w:t>
      </w:r>
    </w:p>
    <w:p w14:paraId="0C637910" w14:textId="1CD0548B" w:rsidR="004B56F8" w:rsidRDefault="004B56F8" w:rsidP="004B56F8">
      <w:pPr>
        <w:pStyle w:val="Paragraph1"/>
      </w:pPr>
      <w:r>
        <w:t>Wires and Poles: Refer to Drawings for requirement(s).</w:t>
      </w:r>
    </w:p>
    <w:p w14:paraId="31DECB37" w14:textId="4F8F57F2" w:rsidR="00DB057D" w:rsidRDefault="00DB057D" w:rsidP="00DB057D">
      <w:pPr>
        <w:pStyle w:val="Paragraph1"/>
      </w:pPr>
      <w:proofErr w:type="spellStart"/>
      <w:r>
        <w:t>Raintight</w:t>
      </w:r>
      <w:proofErr w:type="spellEnd"/>
      <w:r>
        <w:t>.</w:t>
      </w:r>
    </w:p>
    <w:p w14:paraId="7F48158F" w14:textId="0B701094" w:rsidR="004B56F8" w:rsidRDefault="004B56F8" w:rsidP="00DB057D">
      <w:pPr>
        <w:pStyle w:val="Paragraph1"/>
      </w:pPr>
      <w:r>
        <w:t>Standards: Comply with NEMA FB 11 and UL 1203.</w:t>
      </w:r>
    </w:p>
    <w:p w14:paraId="7A5725B0" w14:textId="291EEF82" w:rsidR="00926360" w:rsidRDefault="00926360" w:rsidP="00926360">
      <w:pPr>
        <w:pStyle w:val="Paragraph"/>
      </w:pPr>
      <w:r>
        <w:t>Use GFCI type circuit breaker for GFCI applications.</w:t>
      </w:r>
    </w:p>
    <w:p w14:paraId="6538BA61" w14:textId="2B02F337" w:rsidR="004B56F8" w:rsidRDefault="004B56F8" w:rsidP="00A7675F">
      <w:pPr>
        <w:pStyle w:val="ArticleHeading"/>
      </w:pPr>
      <w:r>
        <w:t>twist-locking receptacles</w:t>
      </w:r>
    </w:p>
    <w:p w14:paraId="4C53196B" w14:textId="71B69237" w:rsidR="004B56F8" w:rsidRPr="001A46EA" w:rsidRDefault="004B56F8" w:rsidP="001A46EA">
      <w:pPr>
        <w:pStyle w:val="Paragraph"/>
      </w:pPr>
      <w:r w:rsidRPr="001A46EA">
        <w:t>Twist-Lock, Single Receptacles, 120 V, 20 A</w:t>
      </w:r>
    </w:p>
    <w:p w14:paraId="04144364" w14:textId="40CFE106" w:rsidR="004B56F8" w:rsidRDefault="004B56F8" w:rsidP="004B56F8">
      <w:pPr>
        <w:pStyle w:val="Paragraph1"/>
      </w:pPr>
      <w:r>
        <w:t>Configuration: NEMA WD 6, Type L5-20R.</w:t>
      </w:r>
    </w:p>
    <w:p w14:paraId="04157DEF" w14:textId="504CEAD6" w:rsidR="004B56F8" w:rsidRDefault="004B56F8" w:rsidP="004B56F8">
      <w:pPr>
        <w:pStyle w:val="Paragraph1"/>
      </w:pPr>
      <w:r>
        <w:t>Standards: Comply with UL 498.</w:t>
      </w:r>
    </w:p>
    <w:p w14:paraId="7CC5EE1E" w14:textId="6AE0524C" w:rsidR="004B56F8" w:rsidRPr="001A46EA" w:rsidRDefault="004B56F8" w:rsidP="001A46EA">
      <w:pPr>
        <w:pStyle w:val="Paragraph"/>
      </w:pPr>
      <w:r w:rsidRPr="001A46EA">
        <w:t>Twist-Lock, Single Receptacles, 250 V, 20 A</w:t>
      </w:r>
    </w:p>
    <w:p w14:paraId="3AC20F17" w14:textId="52836F07" w:rsidR="004B56F8" w:rsidRDefault="004B56F8" w:rsidP="004B56F8">
      <w:pPr>
        <w:pStyle w:val="Paragraph1"/>
      </w:pPr>
      <w:r>
        <w:t>Configuration: NEMA WD 6, type L7-20R.</w:t>
      </w:r>
    </w:p>
    <w:p w14:paraId="5DCA2B51" w14:textId="6D11F81F" w:rsidR="004B56F8" w:rsidRDefault="004B56F8" w:rsidP="004B56F8">
      <w:pPr>
        <w:pStyle w:val="Paragraph1"/>
      </w:pPr>
      <w:r>
        <w:t>Standards: Comply with UL 498.</w:t>
      </w:r>
    </w:p>
    <w:p w14:paraId="368BB802" w14:textId="22D70C58" w:rsidR="00926360" w:rsidRPr="001A46EA" w:rsidRDefault="00926360" w:rsidP="001A46EA">
      <w:pPr>
        <w:pStyle w:val="Paragraph"/>
      </w:pPr>
      <w:r w:rsidRPr="001A46EA">
        <w:t>Use GFCI type circuit breaker for GFCI applications.</w:t>
      </w:r>
    </w:p>
    <w:p w14:paraId="3C092EE8" w14:textId="05A233C0" w:rsidR="00E579E3" w:rsidRDefault="00E579E3" w:rsidP="00A7675F">
      <w:pPr>
        <w:pStyle w:val="ArticleHeading"/>
      </w:pPr>
      <w:r>
        <w:t>pendant cord-connector devices</w:t>
      </w:r>
    </w:p>
    <w:p w14:paraId="03184294" w14:textId="77777777" w:rsidR="00E579E3" w:rsidRDefault="00E579E3" w:rsidP="00E579E3">
      <w:pPr>
        <w:pStyle w:val="Paragraph"/>
      </w:pPr>
      <w:r>
        <w:t xml:space="preserve">Description: </w:t>
      </w:r>
    </w:p>
    <w:p w14:paraId="3226629F" w14:textId="54BEE91A" w:rsidR="00E579E3" w:rsidRDefault="00E579E3" w:rsidP="00E579E3">
      <w:pPr>
        <w:pStyle w:val="Paragraph1"/>
      </w:pPr>
      <w:r>
        <w:t>Matching, locking type plug and receptacle body connector, heavy-duty grade.</w:t>
      </w:r>
    </w:p>
    <w:p w14:paraId="3B7610E3" w14:textId="0F7B61B8" w:rsidR="00E579E3" w:rsidRDefault="00E579E3" w:rsidP="00E579E3">
      <w:pPr>
        <w:pStyle w:val="Paragraph1"/>
      </w:pPr>
      <w:r>
        <w:t>Configuration: NEMA WD6, type L5-20P and L5-20R.</w:t>
      </w:r>
    </w:p>
    <w:p w14:paraId="102D8BE5" w14:textId="2FF05E31" w:rsidR="00E579E3" w:rsidRDefault="00E579E3" w:rsidP="00E579E3">
      <w:pPr>
        <w:pStyle w:val="Paragraph1"/>
      </w:pPr>
      <w:r>
        <w:t>Body:</w:t>
      </w:r>
      <w:r w:rsidR="00926360">
        <w:t xml:space="preserve"> </w:t>
      </w:r>
      <w:r>
        <w:t>Nylon with screw-open, cable-gripping jaws and provision for attaching external cable grip.</w:t>
      </w:r>
    </w:p>
    <w:p w14:paraId="4E78CCBA" w14:textId="09B77CF3" w:rsidR="00E579E3" w:rsidRDefault="00E579E3" w:rsidP="00E579E3">
      <w:pPr>
        <w:pStyle w:val="Paragraph1"/>
      </w:pPr>
      <w:r>
        <w:t>External Cable Grip:</w:t>
      </w:r>
      <w:r w:rsidR="00926360">
        <w:t xml:space="preserve"> </w:t>
      </w:r>
      <w:r>
        <w:t>Woven wire-mesh type made of high-strength, galvanized-steel wire strand, matched to cable diameter, and with attachment provision designed for corresponding connector.</w:t>
      </w:r>
    </w:p>
    <w:p w14:paraId="63EC4456" w14:textId="6F13F621" w:rsidR="00E579E3" w:rsidRDefault="00E579E3" w:rsidP="00926360">
      <w:pPr>
        <w:pStyle w:val="Paragraph1"/>
      </w:pPr>
      <w:r>
        <w:lastRenderedPageBreak/>
        <w:t>Standards: Comply with FS W-C-596.</w:t>
      </w:r>
    </w:p>
    <w:p w14:paraId="0541B5FC" w14:textId="2F0155B3" w:rsidR="00926360" w:rsidRPr="00926360" w:rsidRDefault="00926360" w:rsidP="00926360">
      <w:pPr>
        <w:pStyle w:val="Paragraph"/>
      </w:pPr>
      <w:r w:rsidRPr="00926360">
        <w:t xml:space="preserve">Use GFCI </w:t>
      </w:r>
      <w:r>
        <w:t xml:space="preserve">type </w:t>
      </w:r>
      <w:r w:rsidRPr="00926360">
        <w:t>circuit breaker for GFCI applications.</w:t>
      </w:r>
    </w:p>
    <w:p w14:paraId="0875EE9F" w14:textId="37231401" w:rsidR="00A7675F" w:rsidRDefault="00A7675F" w:rsidP="00A7675F">
      <w:pPr>
        <w:pStyle w:val="ArticleHeading"/>
      </w:pPr>
      <w:r>
        <w:t>cord and plug sets</w:t>
      </w:r>
    </w:p>
    <w:p w14:paraId="7A3DFD15" w14:textId="776A0BC6" w:rsidR="00A7675F" w:rsidRDefault="00A7675F" w:rsidP="00A7675F">
      <w:pPr>
        <w:pStyle w:val="Paragraph"/>
      </w:pPr>
      <w:r>
        <w:t>Description:</w:t>
      </w:r>
    </w:p>
    <w:p w14:paraId="5E6DDB3A" w14:textId="77777777" w:rsidR="00A7675F" w:rsidRDefault="00A7675F" w:rsidP="00A7675F">
      <w:pPr>
        <w:pStyle w:val="Paragraph1"/>
      </w:pPr>
      <w:r>
        <w:t>Match voltage and current ratings and number of conductors to requirements of equipment being connected.</w:t>
      </w:r>
    </w:p>
    <w:p w14:paraId="37802C91" w14:textId="77777777" w:rsidR="00A7675F" w:rsidRDefault="00A7675F" w:rsidP="00A7675F">
      <w:pPr>
        <w:pStyle w:val="Paragraph1"/>
      </w:pPr>
      <w:r>
        <w:t>Cord: Rubber-insulated, stranded-copper conductors, with Type SOW-A jacket; with green-insulated grounding conductor and ampacity of at least 130 percent of the equipment rating.</w:t>
      </w:r>
    </w:p>
    <w:p w14:paraId="4B3A911D" w14:textId="77777777" w:rsidR="00A7675F" w:rsidRDefault="00A7675F" w:rsidP="00A7675F">
      <w:pPr>
        <w:pStyle w:val="Paragraph1"/>
      </w:pPr>
      <w:r>
        <w:t>Plug: Nylon body and integral cable-clamping jaws. Match cord and receptacle type for connection.</w:t>
      </w:r>
    </w:p>
    <w:p w14:paraId="614183AD" w14:textId="27CE2DEC" w:rsidR="00926360" w:rsidRDefault="00926360" w:rsidP="00926360">
      <w:pPr>
        <w:pStyle w:val="Paragraph"/>
      </w:pPr>
      <w:r>
        <w:t>Use GFCI type circuit breaker for GFCI applications.</w:t>
      </w:r>
    </w:p>
    <w:p w14:paraId="15D3BF99" w14:textId="5873EBAC" w:rsidR="00A7675F" w:rsidRDefault="00794139" w:rsidP="00794139">
      <w:pPr>
        <w:pStyle w:val="ArticleHeading"/>
      </w:pPr>
      <w:r>
        <w:t>toggle switches</w:t>
      </w:r>
      <w:r w:rsidR="00344E48">
        <w:t>, 120/277 V, 20A</w:t>
      </w:r>
    </w:p>
    <w:p w14:paraId="1F3545C2" w14:textId="77777777" w:rsidR="00794139" w:rsidRDefault="00794139" w:rsidP="00794139">
      <w:pPr>
        <w:pStyle w:val="Paragraph"/>
      </w:pPr>
      <w:r>
        <w:t>Comply with NEMA WD 1, UL 20, and FS W-S-896.</w:t>
      </w:r>
    </w:p>
    <w:p w14:paraId="59C1F85E" w14:textId="77777777" w:rsidR="00794139" w:rsidRDefault="00794139" w:rsidP="00794139">
      <w:pPr>
        <w:pStyle w:val="Paragraph"/>
      </w:pPr>
      <w:r>
        <w:t>Switches, 120/277 V, 20 A:</w:t>
      </w:r>
    </w:p>
    <w:p w14:paraId="7EB626C2" w14:textId="4EF8085A" w:rsidR="00794139" w:rsidRDefault="00794139" w:rsidP="00794139">
      <w:pPr>
        <w:pStyle w:val="Paragraph1"/>
      </w:pPr>
      <w:r>
        <w:t>Single Pole:</w:t>
      </w:r>
    </w:p>
    <w:p w14:paraId="010F7EAC" w14:textId="77777777" w:rsidR="00794139" w:rsidRPr="00794139" w:rsidRDefault="00794139" w:rsidP="00794139">
      <w:pPr>
        <w:pStyle w:val="Subparagrapha"/>
      </w:pPr>
      <w:r w:rsidRPr="00794139">
        <w:t>Products: Subject to compliance with requirements, provide one of the following:</w:t>
      </w:r>
    </w:p>
    <w:p w14:paraId="428D0653" w14:textId="09917D48" w:rsidR="00655029" w:rsidRDefault="00655029" w:rsidP="00794139">
      <w:pPr>
        <w:pStyle w:val="Subparagraph1"/>
      </w:pPr>
      <w:r>
        <w:t>Eaton: AH1221.</w:t>
      </w:r>
    </w:p>
    <w:p w14:paraId="2F7D083C" w14:textId="77777777" w:rsidR="00794139" w:rsidRDefault="00794139" w:rsidP="00794139">
      <w:pPr>
        <w:pStyle w:val="Subparagraph1"/>
      </w:pPr>
      <w:r>
        <w:t>Hubbell: HBL1221.</w:t>
      </w:r>
    </w:p>
    <w:p w14:paraId="6AB1C075" w14:textId="571A399A" w:rsidR="00794139" w:rsidRDefault="00794139" w:rsidP="00794139">
      <w:pPr>
        <w:pStyle w:val="Subparagraph1"/>
      </w:pPr>
      <w:r>
        <w:t>Leviton: 1221-</w:t>
      </w:r>
      <w:r w:rsidR="0084360E">
        <w:t>S</w:t>
      </w:r>
      <w:r>
        <w:t>.</w:t>
      </w:r>
    </w:p>
    <w:p w14:paraId="40314077" w14:textId="2F886115" w:rsidR="00794139" w:rsidRDefault="0074634B" w:rsidP="00794139">
      <w:pPr>
        <w:pStyle w:val="Subparagraph1"/>
      </w:pPr>
      <w:r>
        <w:t>P &amp; S</w:t>
      </w:r>
      <w:r w:rsidR="00794139">
        <w:t xml:space="preserve">: </w:t>
      </w:r>
      <w:r w:rsidR="001572EB">
        <w:t>PS20AC1</w:t>
      </w:r>
      <w:r w:rsidR="00794139">
        <w:t>.</w:t>
      </w:r>
    </w:p>
    <w:p w14:paraId="2684C7F7" w14:textId="3E9C1545" w:rsidR="00794139" w:rsidRDefault="00794139" w:rsidP="00794139">
      <w:pPr>
        <w:pStyle w:val="Paragraph1"/>
      </w:pPr>
      <w:r>
        <w:t>Three Way:</w:t>
      </w:r>
    </w:p>
    <w:p w14:paraId="58B92F9F" w14:textId="77777777" w:rsidR="00794139" w:rsidRPr="00794139" w:rsidRDefault="00794139" w:rsidP="00794139">
      <w:pPr>
        <w:pStyle w:val="Subparagrapha"/>
      </w:pPr>
      <w:r w:rsidRPr="00794139">
        <w:t>Products: Subject to compliance with requirements, provide one of the following:</w:t>
      </w:r>
    </w:p>
    <w:p w14:paraId="2D7FE0A4" w14:textId="1DD9B0DF" w:rsidR="00655029" w:rsidRDefault="00655029" w:rsidP="00794139">
      <w:pPr>
        <w:pStyle w:val="Subparagraph1"/>
      </w:pPr>
      <w:r>
        <w:t>Eaton: AH1223.</w:t>
      </w:r>
    </w:p>
    <w:p w14:paraId="4479E177" w14:textId="77777777" w:rsidR="00794139" w:rsidRDefault="00794139" w:rsidP="00794139">
      <w:pPr>
        <w:pStyle w:val="Subparagraph1"/>
      </w:pPr>
      <w:r>
        <w:t>Hubbell: HBL1223.</w:t>
      </w:r>
    </w:p>
    <w:p w14:paraId="12CB5ED0" w14:textId="16CC1FC2" w:rsidR="00794139" w:rsidRDefault="00794139" w:rsidP="00794139">
      <w:pPr>
        <w:pStyle w:val="Subparagraph1"/>
      </w:pPr>
      <w:proofErr w:type="spellStart"/>
      <w:r>
        <w:t>Levition</w:t>
      </w:r>
      <w:proofErr w:type="spellEnd"/>
      <w:r>
        <w:t>: 1223-</w:t>
      </w:r>
      <w:r w:rsidR="0084360E">
        <w:t>S</w:t>
      </w:r>
      <w:r>
        <w:t>.</w:t>
      </w:r>
    </w:p>
    <w:p w14:paraId="1F010291" w14:textId="30F4B675" w:rsidR="00794139" w:rsidRDefault="0074634B" w:rsidP="00794139">
      <w:pPr>
        <w:pStyle w:val="Subparagraph1"/>
      </w:pPr>
      <w:r>
        <w:t>P &amp; S</w:t>
      </w:r>
      <w:r w:rsidR="00794139">
        <w:t xml:space="preserve">: </w:t>
      </w:r>
      <w:r w:rsidR="001572EB">
        <w:t>PS20AC3</w:t>
      </w:r>
      <w:r w:rsidR="00794139">
        <w:t>.</w:t>
      </w:r>
    </w:p>
    <w:p w14:paraId="04E8DCA0" w14:textId="567A34FE" w:rsidR="00794139" w:rsidRDefault="00794139" w:rsidP="00794139">
      <w:pPr>
        <w:pStyle w:val="Paragraph1"/>
      </w:pPr>
      <w:r>
        <w:t>Four Way:</w:t>
      </w:r>
    </w:p>
    <w:p w14:paraId="5A9E73C0" w14:textId="77777777" w:rsidR="00794139" w:rsidRPr="00794139" w:rsidRDefault="00794139" w:rsidP="00794139">
      <w:pPr>
        <w:pStyle w:val="Subparagrapha"/>
      </w:pPr>
      <w:r w:rsidRPr="00794139">
        <w:t>Products: Subject to compliance with requirements, provide one of the following:</w:t>
      </w:r>
    </w:p>
    <w:p w14:paraId="4D883C8B" w14:textId="5BB40CD8" w:rsidR="00655029" w:rsidRDefault="00655029" w:rsidP="00794139">
      <w:pPr>
        <w:pStyle w:val="Subparagraph1"/>
      </w:pPr>
      <w:r>
        <w:t>Eaton: AH1224.</w:t>
      </w:r>
    </w:p>
    <w:p w14:paraId="4CEB4B24" w14:textId="436324D1" w:rsidR="00794139" w:rsidRDefault="00794139" w:rsidP="00794139">
      <w:pPr>
        <w:pStyle w:val="Subparagraph1"/>
      </w:pPr>
      <w:r>
        <w:t>Hubbell: HBL1224.</w:t>
      </w:r>
    </w:p>
    <w:p w14:paraId="79AE8B8D" w14:textId="6EAF624D" w:rsidR="00794139" w:rsidRDefault="00655029" w:rsidP="00794139">
      <w:pPr>
        <w:pStyle w:val="Subparagraph1"/>
      </w:pPr>
      <w:r>
        <w:t>Levit</w:t>
      </w:r>
      <w:r w:rsidR="0084360E">
        <w:t>on: 1224-S</w:t>
      </w:r>
      <w:r w:rsidR="00794139">
        <w:t>.</w:t>
      </w:r>
    </w:p>
    <w:p w14:paraId="382C9A82" w14:textId="4EAAF9C7" w:rsidR="00794139" w:rsidRDefault="0074634B" w:rsidP="00794139">
      <w:pPr>
        <w:pStyle w:val="Subparagraph1"/>
      </w:pPr>
      <w:r>
        <w:t>P &amp; S</w:t>
      </w:r>
      <w:r w:rsidR="00794139">
        <w:t xml:space="preserve">: </w:t>
      </w:r>
      <w:r w:rsidR="001572EB">
        <w:t>PS20AC4</w:t>
      </w:r>
      <w:r w:rsidR="00794139">
        <w:t>.</w:t>
      </w:r>
    </w:p>
    <w:p w14:paraId="255DB07C" w14:textId="4F820089" w:rsidR="00655029" w:rsidRDefault="00655029" w:rsidP="00655029">
      <w:pPr>
        <w:pStyle w:val="Paragraph1"/>
      </w:pPr>
      <w:r>
        <w:t>Lighted</w:t>
      </w:r>
      <w:r w:rsidR="0074634B">
        <w:t xml:space="preserve"> Toggle</w:t>
      </w:r>
      <w:r>
        <w:t>:</w:t>
      </w:r>
    </w:p>
    <w:p w14:paraId="7AC45B2F" w14:textId="1C634647" w:rsidR="0074634B" w:rsidRDefault="00655029" w:rsidP="0074634B">
      <w:pPr>
        <w:pStyle w:val="Subparagrapha"/>
      </w:pPr>
      <w:r>
        <w:t>Products: Subject to compliance with requirements, provide one of the following:</w:t>
      </w:r>
    </w:p>
    <w:p w14:paraId="66DC9E62" w14:textId="5B992BCD" w:rsidR="00655029" w:rsidRDefault="00655029" w:rsidP="0074634B">
      <w:pPr>
        <w:pStyle w:val="Subparagraph1"/>
      </w:pPr>
      <w:r>
        <w:t>Eaton: AH1221LT</w:t>
      </w:r>
      <w:r w:rsidR="0074634B">
        <w:t>W</w:t>
      </w:r>
      <w:r>
        <w:t xml:space="preserve"> (SP), AH1223LT</w:t>
      </w:r>
      <w:r w:rsidR="0074634B">
        <w:t>W</w:t>
      </w:r>
      <w:r>
        <w:t xml:space="preserve"> (3-Way)</w:t>
      </w:r>
    </w:p>
    <w:p w14:paraId="73B70AC2" w14:textId="1E324818" w:rsidR="0074634B" w:rsidRPr="006C394E" w:rsidRDefault="0074634B" w:rsidP="0074634B">
      <w:pPr>
        <w:pStyle w:val="Subparagraph1"/>
      </w:pPr>
      <w:r w:rsidRPr="006C394E">
        <w:t>Hubbell:</w:t>
      </w:r>
      <w:r w:rsidR="00EF1602">
        <w:t xml:space="preserve"> HBL1221IL (SP), HBL1223IL (3-Way)</w:t>
      </w:r>
    </w:p>
    <w:p w14:paraId="5024BB1F" w14:textId="733DEFCD" w:rsidR="0074634B" w:rsidRPr="006C394E" w:rsidRDefault="0074634B" w:rsidP="0074634B">
      <w:pPr>
        <w:pStyle w:val="Subparagraph1"/>
      </w:pPr>
      <w:r w:rsidRPr="006C394E">
        <w:t>Leviton:</w:t>
      </w:r>
      <w:r w:rsidR="00EF1602">
        <w:t xml:space="preserve"> 1221-LH (SP), 1223-LH (3-Way)</w:t>
      </w:r>
    </w:p>
    <w:p w14:paraId="55E2E899" w14:textId="103D385D" w:rsidR="0074634B" w:rsidRPr="006C394E" w:rsidRDefault="0074634B" w:rsidP="0074634B">
      <w:pPr>
        <w:pStyle w:val="Subparagraph1"/>
      </w:pPr>
      <w:r w:rsidRPr="006C394E">
        <w:t>P &amp; S:</w:t>
      </w:r>
      <w:r w:rsidR="006C394E">
        <w:t xml:space="preserve"> </w:t>
      </w:r>
      <w:r w:rsidR="001572EB">
        <w:t>PS20AC1SL (SP), SP20AC3SL (3-Way)</w:t>
      </w:r>
    </w:p>
    <w:p w14:paraId="280D8939" w14:textId="2937707E" w:rsidR="0074634B" w:rsidRPr="006C394E" w:rsidRDefault="003257D7" w:rsidP="0074634B">
      <w:pPr>
        <w:pStyle w:val="Subparagrapha"/>
      </w:pPr>
      <w:r>
        <w:t>Pilot Light (Red)</w:t>
      </w:r>
      <w:r w:rsidR="0074634B" w:rsidRPr="006C394E">
        <w:t>:</w:t>
      </w:r>
    </w:p>
    <w:p w14:paraId="1C01AD87" w14:textId="5A27D73C" w:rsidR="0074634B" w:rsidRDefault="0074634B" w:rsidP="0074634B">
      <w:pPr>
        <w:pStyle w:val="Subparagraph1"/>
      </w:pPr>
      <w:r>
        <w:t>Eaton: AH1221PL (SP), AH1223PL (3-Way), AH1224PL (4-Way)</w:t>
      </w:r>
    </w:p>
    <w:p w14:paraId="4842910D" w14:textId="5DC9FE8E" w:rsidR="0074634B" w:rsidRPr="001572EB" w:rsidRDefault="0074634B" w:rsidP="0074634B">
      <w:pPr>
        <w:pStyle w:val="Subparagraph1"/>
      </w:pPr>
      <w:r w:rsidRPr="001572EB">
        <w:lastRenderedPageBreak/>
        <w:t>Hubbell:</w:t>
      </w:r>
      <w:r w:rsidR="003257D7">
        <w:t xml:space="preserve"> HBL1221PL (SP), HBL1223PL (3-Way)</w:t>
      </w:r>
    </w:p>
    <w:p w14:paraId="3CC383C1" w14:textId="593B94D8" w:rsidR="0074634B" w:rsidRPr="001572EB" w:rsidRDefault="0074634B" w:rsidP="0074634B">
      <w:pPr>
        <w:pStyle w:val="Subparagraph1"/>
      </w:pPr>
      <w:r w:rsidRPr="001572EB">
        <w:t>Leviton:</w:t>
      </w:r>
      <w:r w:rsidR="003257D7">
        <w:t xml:space="preserve"> 1221-PL (SP), 1223-PL (3-Way)</w:t>
      </w:r>
    </w:p>
    <w:p w14:paraId="73E69010" w14:textId="22EBE4AD" w:rsidR="0074634B" w:rsidRPr="001572EB" w:rsidRDefault="0074634B" w:rsidP="0074634B">
      <w:pPr>
        <w:pStyle w:val="Subparagraph1"/>
      </w:pPr>
      <w:r w:rsidRPr="001572EB">
        <w:t>P &amp; S:</w:t>
      </w:r>
      <w:r w:rsidR="001572EB">
        <w:t xml:space="preserve"> PS20AC1PL (SP), PS20AC3PL (3-Way)</w:t>
      </w:r>
    </w:p>
    <w:p w14:paraId="6A583F1D" w14:textId="55659161" w:rsidR="00794139" w:rsidRDefault="00794139" w:rsidP="00794139">
      <w:pPr>
        <w:pStyle w:val="ArticleHeading"/>
      </w:pPr>
      <w:r>
        <w:t>Wall-Box dimmers</w:t>
      </w:r>
    </w:p>
    <w:p w14:paraId="321E36A1" w14:textId="75E73C10" w:rsidR="00794139" w:rsidRDefault="0022584E" w:rsidP="00794139">
      <w:pPr>
        <w:pStyle w:val="Paragraph"/>
      </w:pPr>
      <w:r>
        <w:t>Audible</w:t>
      </w:r>
      <w:r w:rsidR="00794139">
        <w:t xml:space="preserve"> frequency and EMI/RFI suppression filters.</w:t>
      </w:r>
    </w:p>
    <w:p w14:paraId="4C2293AE" w14:textId="77777777" w:rsidR="00794139" w:rsidRDefault="00794139" w:rsidP="00794139">
      <w:pPr>
        <w:pStyle w:val="Paragraph"/>
      </w:pPr>
      <w:r>
        <w:t>Control: Continuously adjustable slider; with single-pole or three-way switching. Comply with UL 1472.</w:t>
      </w:r>
    </w:p>
    <w:p w14:paraId="65886834" w14:textId="77777777" w:rsidR="00794139" w:rsidRDefault="00794139" w:rsidP="00794139">
      <w:pPr>
        <w:pStyle w:val="Paragraph"/>
      </w:pPr>
      <w:r>
        <w:t>LED Lamp Dimmer Switches: Modular; compatible with LED lamps and drivers; trim potentiometer to adjust low-end dimming; capable of consistent dimming with low end not greater than 10 percent of full brightness.</w:t>
      </w:r>
    </w:p>
    <w:p w14:paraId="7B1FEA2D" w14:textId="77777777" w:rsidR="00794139" w:rsidRPr="00794139" w:rsidRDefault="00794139" w:rsidP="00794139">
      <w:pPr>
        <w:pStyle w:val="Paragraph1"/>
      </w:pPr>
      <w:r w:rsidRPr="00794139">
        <w:t>Products: Subject to compliance with requirements, provide one of the following:</w:t>
      </w:r>
    </w:p>
    <w:p w14:paraId="42F836A9" w14:textId="41AD4B1B" w:rsidR="0022584E" w:rsidRDefault="0022584E" w:rsidP="00794139">
      <w:pPr>
        <w:pStyle w:val="Subparagrapha"/>
      </w:pPr>
      <w:r>
        <w:t>Eaton</w:t>
      </w:r>
      <w:proofErr w:type="gramStart"/>
      <w:r>
        <w:t>:SF10P</w:t>
      </w:r>
      <w:proofErr w:type="gramEnd"/>
      <w:r>
        <w:t>.</w:t>
      </w:r>
    </w:p>
    <w:p w14:paraId="20A9366E" w14:textId="77777777" w:rsidR="00794139" w:rsidRDefault="00794139" w:rsidP="00794139">
      <w:pPr>
        <w:pStyle w:val="Subparagrapha"/>
      </w:pPr>
      <w:r>
        <w:t>Leviton: IP710-LFZ.</w:t>
      </w:r>
    </w:p>
    <w:p w14:paraId="1699CF50" w14:textId="77777777" w:rsidR="00794139" w:rsidRDefault="00794139" w:rsidP="00794139">
      <w:pPr>
        <w:pStyle w:val="Subparagrapha"/>
      </w:pPr>
      <w:r>
        <w:t>Lutron: DVSTV (Diva Series)</w:t>
      </w:r>
    </w:p>
    <w:p w14:paraId="25B2F021" w14:textId="3887DC30" w:rsidR="00794139" w:rsidRDefault="0074634B" w:rsidP="00794139">
      <w:pPr>
        <w:pStyle w:val="Subparagrapha"/>
      </w:pPr>
      <w:r>
        <w:t>P &amp; S</w:t>
      </w:r>
      <w:r w:rsidR="00794139">
        <w:t>: CD4FBL3P (Titan Series).</w:t>
      </w:r>
    </w:p>
    <w:p w14:paraId="41C8F4D6" w14:textId="114748D6" w:rsidR="00794139" w:rsidRDefault="00794139" w:rsidP="00794139">
      <w:pPr>
        <w:pStyle w:val="ArticleHeading"/>
      </w:pPr>
      <w:r>
        <w:t>wall plates</w:t>
      </w:r>
    </w:p>
    <w:p w14:paraId="7F721802" w14:textId="77777777" w:rsidR="00794139" w:rsidRPr="00794139" w:rsidRDefault="00794139" w:rsidP="00794139">
      <w:pPr>
        <w:pStyle w:val="Paragraph"/>
      </w:pPr>
      <w:r w:rsidRPr="00794139">
        <w:t>Single and combination types shall match corresponding wiring devices.</w:t>
      </w:r>
    </w:p>
    <w:p w14:paraId="2ADDECAC" w14:textId="77777777" w:rsidR="00794139" w:rsidRDefault="00794139" w:rsidP="00794139">
      <w:pPr>
        <w:pStyle w:val="Paragraph1"/>
      </w:pPr>
      <w:r>
        <w:t>Plate-Securing Screws: Metal with head color to match plate finish.</w:t>
      </w:r>
    </w:p>
    <w:p w14:paraId="1ECD43E6" w14:textId="77777777" w:rsidR="00794139" w:rsidRDefault="00794139" w:rsidP="00794139">
      <w:pPr>
        <w:pStyle w:val="Paragraph1"/>
      </w:pPr>
      <w:r>
        <w:t>Material for Finished Spaces:  0.035-inch-thick, satin-finished, Type 302 stainless steel.</w:t>
      </w:r>
    </w:p>
    <w:p w14:paraId="43B297FC" w14:textId="77777777" w:rsidR="00794139" w:rsidRDefault="00794139" w:rsidP="00794139">
      <w:pPr>
        <w:pStyle w:val="Paragraph1"/>
      </w:pPr>
      <w:r>
        <w:t>Material for Damp Locations:  Cast aluminum with spring-loaded lift cover, and listed and labeled for use in wet and damp locations.</w:t>
      </w:r>
    </w:p>
    <w:p w14:paraId="357D78B0" w14:textId="77777777" w:rsidR="00794139" w:rsidRDefault="00794139" w:rsidP="00794139">
      <w:pPr>
        <w:pStyle w:val="Paragraph1"/>
      </w:pPr>
      <w:r>
        <w:t xml:space="preserve">Material for areas classified as hazardous locations: Where required by </w:t>
      </w:r>
      <w:proofErr w:type="gramStart"/>
      <w:r>
        <w:t>NEC,</w:t>
      </w:r>
      <w:proofErr w:type="gramEnd"/>
      <w:r>
        <w:t xml:space="preserve"> shall be NEMA 7 explosion-proof and comply with UL 886. </w:t>
      </w:r>
    </w:p>
    <w:p w14:paraId="298BBF1F" w14:textId="77777777" w:rsidR="00794139" w:rsidRDefault="00794139" w:rsidP="00794139">
      <w:pPr>
        <w:pStyle w:val="Paragraph1"/>
      </w:pPr>
      <w:r>
        <w:t>In corrosive locations, where the conduit system is PVC-coated, wall plates shall be Type 316 stainless steel, or non-metallic thermoplastic or fiberglass reinforced plastic material.</w:t>
      </w:r>
    </w:p>
    <w:p w14:paraId="56F287F1" w14:textId="66309B0F" w:rsidR="00794139" w:rsidRDefault="00794139" w:rsidP="00641FED">
      <w:pPr>
        <w:pStyle w:val="ArticleHeading"/>
      </w:pPr>
      <w:r>
        <w:t xml:space="preserve">exterior wall </w:t>
      </w:r>
      <w:r w:rsidR="00641FED">
        <w:t xml:space="preserve">cover </w:t>
      </w:r>
      <w:r>
        <w:t>plates</w:t>
      </w:r>
    </w:p>
    <w:p w14:paraId="511422F2" w14:textId="7554FD57" w:rsidR="00641FED" w:rsidRDefault="00641FED" w:rsidP="00641FED">
      <w:pPr>
        <w:pStyle w:val="Paragraph"/>
      </w:pPr>
      <w:r>
        <w:t>Single and combination types shall be as follows:</w:t>
      </w:r>
    </w:p>
    <w:p w14:paraId="71B985F5" w14:textId="2273CD65" w:rsidR="00641FED" w:rsidRDefault="00641FED" w:rsidP="00641FED">
      <w:pPr>
        <w:pStyle w:val="Paragraph1"/>
      </w:pPr>
      <w:r>
        <w:t>All exterior device cover plates shall be while-in-use style.</w:t>
      </w:r>
    </w:p>
    <w:p w14:paraId="46BB81EA" w14:textId="255CABFA" w:rsidR="00641FED" w:rsidRDefault="00641FED" w:rsidP="00641FED">
      <w:pPr>
        <w:pStyle w:val="Paragraph1"/>
      </w:pPr>
      <w:r>
        <w:t>All exterior device cover plates shall be cast aluminum.</w:t>
      </w:r>
    </w:p>
    <w:p w14:paraId="0061072B" w14:textId="482393E7" w:rsidR="00641FED" w:rsidRDefault="00641FED" w:rsidP="00641FED">
      <w:pPr>
        <w:pStyle w:val="Paragraph1"/>
      </w:pPr>
      <w:r>
        <w:t>Manufacturers and model shall be as follows:</w:t>
      </w:r>
    </w:p>
    <w:p w14:paraId="6F3E67DE" w14:textId="44D5D4BE" w:rsidR="00641FED" w:rsidRDefault="004919BB" w:rsidP="00641FED">
      <w:pPr>
        <w:pStyle w:val="Subparagrapha"/>
      </w:pPr>
      <w:r>
        <w:t>Single Gang Horizontal Mount:</w:t>
      </w:r>
    </w:p>
    <w:p w14:paraId="5558A599" w14:textId="36C62FED" w:rsidR="004919BB" w:rsidRDefault="004919BB" w:rsidP="004919BB">
      <w:pPr>
        <w:pStyle w:val="Subparagraph1"/>
      </w:pPr>
      <w:r>
        <w:t>Hubbell: WP26EH.</w:t>
      </w:r>
    </w:p>
    <w:p w14:paraId="05A2D47D" w14:textId="3E8F6B3E" w:rsidR="004919BB" w:rsidRDefault="004919BB" w:rsidP="004919BB">
      <w:pPr>
        <w:pStyle w:val="Subparagraph1"/>
      </w:pPr>
      <w:r>
        <w:t>Leviton: IUM1H-GY</w:t>
      </w:r>
      <w:r w:rsidR="006F6CDC">
        <w:t>.</w:t>
      </w:r>
    </w:p>
    <w:p w14:paraId="35936366" w14:textId="3B421CB2" w:rsidR="006F6CDC" w:rsidRDefault="0074634B" w:rsidP="004919BB">
      <w:pPr>
        <w:pStyle w:val="Subparagraph1"/>
      </w:pPr>
      <w:r>
        <w:t>P &amp; S</w:t>
      </w:r>
      <w:r w:rsidR="006F6CDC">
        <w:t>: WIUCAST1.</w:t>
      </w:r>
    </w:p>
    <w:p w14:paraId="4A86F733" w14:textId="55D0AAA3" w:rsidR="004919BB" w:rsidRDefault="004919BB" w:rsidP="004919BB">
      <w:pPr>
        <w:pStyle w:val="Subparagrapha"/>
      </w:pPr>
      <w:r>
        <w:t>Single Gang Horizontal Mount:</w:t>
      </w:r>
    </w:p>
    <w:p w14:paraId="38B6BF2B" w14:textId="7E46AED5" w:rsidR="004919BB" w:rsidRDefault="004919BB" w:rsidP="004919BB">
      <w:pPr>
        <w:pStyle w:val="Subparagraph1"/>
      </w:pPr>
      <w:r>
        <w:t>Hubbell: WP26E.</w:t>
      </w:r>
    </w:p>
    <w:p w14:paraId="607BAE7F" w14:textId="1278C7A3" w:rsidR="004919BB" w:rsidRDefault="004919BB" w:rsidP="004919BB">
      <w:pPr>
        <w:pStyle w:val="Subparagraph1"/>
      </w:pPr>
      <w:r>
        <w:t>Leviton: IUM1V-GY</w:t>
      </w:r>
      <w:r w:rsidR="006F6CDC">
        <w:t>.</w:t>
      </w:r>
    </w:p>
    <w:p w14:paraId="3AE0F89B" w14:textId="0E6162A5" w:rsidR="006F6CDC" w:rsidRDefault="0074634B" w:rsidP="004919BB">
      <w:pPr>
        <w:pStyle w:val="Subparagraph1"/>
      </w:pPr>
      <w:r>
        <w:t>P &amp; S</w:t>
      </w:r>
      <w:r w:rsidR="006F6CDC">
        <w:t>: WIUCAST1.</w:t>
      </w:r>
    </w:p>
    <w:p w14:paraId="76C853E0" w14:textId="32DBE7EB" w:rsidR="004919BB" w:rsidRDefault="004919BB" w:rsidP="004919BB">
      <w:pPr>
        <w:pStyle w:val="Subparagrapha"/>
      </w:pPr>
      <w:r>
        <w:t>Double Gang Mount:</w:t>
      </w:r>
    </w:p>
    <w:p w14:paraId="1D61252D" w14:textId="78B9A95A" w:rsidR="004919BB" w:rsidRDefault="004919BB" w:rsidP="004919BB">
      <w:pPr>
        <w:pStyle w:val="Subparagraph1"/>
      </w:pPr>
      <w:r>
        <w:t>Hubbell: WP262E.</w:t>
      </w:r>
    </w:p>
    <w:p w14:paraId="1F11F7C0" w14:textId="594B373F" w:rsidR="006F6CDC" w:rsidRDefault="006F6CDC" w:rsidP="004919BB">
      <w:pPr>
        <w:pStyle w:val="Subparagraph1"/>
      </w:pPr>
      <w:r>
        <w:lastRenderedPageBreak/>
        <w:t>Leviton: IUM2V-GY.</w:t>
      </w:r>
    </w:p>
    <w:p w14:paraId="7B69A094" w14:textId="53DBA3BB" w:rsidR="006F6CDC" w:rsidRDefault="0074634B" w:rsidP="004919BB">
      <w:pPr>
        <w:pStyle w:val="Subparagraph1"/>
      </w:pPr>
      <w:r>
        <w:t>P &amp; S</w:t>
      </w:r>
      <w:r w:rsidR="006F6CDC">
        <w:t>: WIUCAST2.</w:t>
      </w:r>
    </w:p>
    <w:p w14:paraId="6C54A655" w14:textId="2633506A" w:rsidR="00621028" w:rsidRDefault="00621028" w:rsidP="00621028">
      <w:pPr>
        <w:pStyle w:val="ArticleHeading"/>
      </w:pPr>
      <w:r>
        <w:t>finishes</w:t>
      </w:r>
    </w:p>
    <w:p w14:paraId="43D36028" w14:textId="77777777" w:rsidR="00621028" w:rsidRPr="00621028" w:rsidRDefault="00621028" w:rsidP="00621028">
      <w:pPr>
        <w:pStyle w:val="Paragraph"/>
      </w:pPr>
      <w:r w:rsidRPr="00621028">
        <w:t>Device Color:</w:t>
      </w:r>
    </w:p>
    <w:p w14:paraId="28D3C075" w14:textId="77777777" w:rsidR="00621028" w:rsidRDefault="00621028" w:rsidP="00621028">
      <w:pPr>
        <w:pStyle w:val="Paragraph1"/>
      </w:pPr>
      <w:r>
        <w:t>Wiring Devices Connected to Normal Power System:  As selected by Engineer unless otherwise indicated or required by NFPA 70 or device listing.</w:t>
      </w:r>
    </w:p>
    <w:p w14:paraId="5E8B1B13" w14:textId="77777777" w:rsidR="00621028" w:rsidRDefault="00621028" w:rsidP="00621028">
      <w:pPr>
        <w:pStyle w:val="Paragraph1"/>
      </w:pPr>
      <w:r>
        <w:t>Wiring Devices Connected to Emergency Power System: Red.</w:t>
      </w:r>
    </w:p>
    <w:p w14:paraId="00AA8097" w14:textId="77777777" w:rsidR="00621028" w:rsidRPr="00621028" w:rsidRDefault="00621028" w:rsidP="00621028">
      <w:pPr>
        <w:pStyle w:val="Paragraph"/>
      </w:pPr>
      <w:r w:rsidRPr="00621028">
        <w:t>Wall Plate Color: For plastic covers, match device color.</w:t>
      </w:r>
    </w:p>
    <w:p w14:paraId="14CD61F2" w14:textId="0DB1ACDA" w:rsidR="00621028" w:rsidRDefault="00621028" w:rsidP="00621028">
      <w:pPr>
        <w:pStyle w:val="PartDesignation"/>
      </w:pPr>
      <w:r>
        <w:t>– execution</w:t>
      </w:r>
    </w:p>
    <w:p w14:paraId="79AE3A8C" w14:textId="77777777" w:rsidR="00A14237" w:rsidRPr="00A14237" w:rsidRDefault="00A14237" w:rsidP="00A14237">
      <w:pPr>
        <w:pStyle w:val="ArticleHeading"/>
      </w:pPr>
      <w:r w:rsidRPr="00A14237">
        <w:t>INSTALLATION</w:t>
      </w:r>
    </w:p>
    <w:p w14:paraId="205444A7" w14:textId="77777777" w:rsidR="00A14237" w:rsidRDefault="00A14237" w:rsidP="00A14237">
      <w:pPr>
        <w:pStyle w:val="Paragraph"/>
      </w:pPr>
      <w:r>
        <w:t>Comply with NECA 1, including mounting heights listed in that standard, unless otherwise indicated.</w:t>
      </w:r>
    </w:p>
    <w:p w14:paraId="5BDA74BC" w14:textId="77777777" w:rsidR="00A14237" w:rsidRDefault="00A14237" w:rsidP="00A14237">
      <w:pPr>
        <w:pStyle w:val="Paragraph"/>
      </w:pPr>
      <w:r>
        <w:t>Coordination with Other Trades:</w:t>
      </w:r>
    </w:p>
    <w:p w14:paraId="4C8BFCB0" w14:textId="77777777" w:rsidR="00A14237" w:rsidRDefault="00A14237" w:rsidP="00A14237">
      <w:pPr>
        <w:pStyle w:val="Paragraph1"/>
      </w:pPr>
      <w:r>
        <w:t>Protect installed devices and their boxes. Do not place wall finish materials over device boxes and do not cut holes for boxes with routers that are guided by riding against outside of boxes.</w:t>
      </w:r>
    </w:p>
    <w:p w14:paraId="3169C614" w14:textId="77777777" w:rsidR="00A14237" w:rsidRDefault="00A14237" w:rsidP="00A14237">
      <w:pPr>
        <w:pStyle w:val="Paragraph1"/>
      </w:pPr>
      <w:r>
        <w:t>Keep outlet boxes free of plaster, drywall joint compound, mortar, cement, concrete, dust, paint, and other material that may contaminate the raceway system, conductors, and cables.</w:t>
      </w:r>
    </w:p>
    <w:p w14:paraId="41E0B473" w14:textId="77777777" w:rsidR="00A14237" w:rsidRDefault="00A14237" w:rsidP="00A14237">
      <w:pPr>
        <w:pStyle w:val="Paragraph1"/>
      </w:pPr>
      <w:r>
        <w:t>Install device boxes in brick or block walls so that the cover plate does not cross a joint unless the joint is troweled flush with the face of the wall.</w:t>
      </w:r>
    </w:p>
    <w:p w14:paraId="647768AE" w14:textId="77777777" w:rsidR="00A14237" w:rsidRDefault="00A14237" w:rsidP="00A14237">
      <w:pPr>
        <w:pStyle w:val="Paragraph1"/>
      </w:pPr>
      <w:r>
        <w:t>Install wiring devices after all wall preparation, including painting, is complete.</w:t>
      </w:r>
    </w:p>
    <w:p w14:paraId="13FC81D0" w14:textId="77777777" w:rsidR="00A14237" w:rsidRPr="00A14237" w:rsidRDefault="00A14237" w:rsidP="00A14237">
      <w:pPr>
        <w:pStyle w:val="Paragraph"/>
      </w:pPr>
      <w:r w:rsidRPr="00A14237">
        <w:t>Conductors:</w:t>
      </w:r>
    </w:p>
    <w:p w14:paraId="0CBC33EA" w14:textId="77777777" w:rsidR="00A14237" w:rsidRDefault="00A14237" w:rsidP="00A14237">
      <w:pPr>
        <w:pStyle w:val="Paragraph1"/>
      </w:pPr>
      <w:r>
        <w:t>Do not strip insulation from conductors until right before they are spliced or terminated on devices.</w:t>
      </w:r>
    </w:p>
    <w:p w14:paraId="2B205381" w14:textId="77777777" w:rsidR="00A14237" w:rsidRDefault="00A14237" w:rsidP="00A14237">
      <w:pPr>
        <w:pStyle w:val="Paragraph1"/>
      </w:pPr>
      <w:r>
        <w:t>Strip insulation evenly around the conductor using tools designed for the purpose. Avoid scoring or nicking of solid wire or cutting strands from stranded wire.</w:t>
      </w:r>
    </w:p>
    <w:p w14:paraId="123037E2" w14:textId="77777777" w:rsidR="00A14237" w:rsidRDefault="00A14237" w:rsidP="00A14237">
      <w:pPr>
        <w:pStyle w:val="Paragraph1"/>
      </w:pPr>
      <w:r>
        <w:t>The length of free conductors at outlets for devices shall meet provisions of NFPA 70, Article 300, without pigtails.</w:t>
      </w:r>
    </w:p>
    <w:p w14:paraId="5EDC9F88" w14:textId="77777777" w:rsidR="00A14237" w:rsidRDefault="00A14237" w:rsidP="00A14237">
      <w:pPr>
        <w:pStyle w:val="Paragraph1"/>
      </w:pPr>
      <w:r>
        <w:t>Existing Conductors:</w:t>
      </w:r>
    </w:p>
    <w:p w14:paraId="7360416D" w14:textId="77777777" w:rsidR="00A14237" w:rsidRDefault="00A14237" w:rsidP="00A14237">
      <w:pPr>
        <w:pStyle w:val="Subparagrapha"/>
      </w:pPr>
      <w:r>
        <w:t>Cut back and pigtail, or replace all damaged conductors.</w:t>
      </w:r>
    </w:p>
    <w:p w14:paraId="4EBAF6C5" w14:textId="77777777" w:rsidR="00A14237" w:rsidRDefault="00A14237" w:rsidP="00A14237">
      <w:pPr>
        <w:pStyle w:val="Subparagrapha"/>
      </w:pPr>
      <w:r>
        <w:t>Straighten conductors that remain and remove corrosion and foreign matter.</w:t>
      </w:r>
    </w:p>
    <w:p w14:paraId="7599CD4A" w14:textId="77777777" w:rsidR="00A14237" w:rsidRDefault="00A14237" w:rsidP="00A14237">
      <w:pPr>
        <w:pStyle w:val="Subparagrapha"/>
      </w:pPr>
      <w:proofErr w:type="spellStart"/>
      <w:r>
        <w:t>Pigtailing</w:t>
      </w:r>
      <w:proofErr w:type="spellEnd"/>
      <w:r>
        <w:t xml:space="preserve"> existing conductors is permitted, provided the outlet box is large enough.</w:t>
      </w:r>
    </w:p>
    <w:p w14:paraId="5D47AE43" w14:textId="77777777" w:rsidR="00A14237" w:rsidRPr="00A14237" w:rsidRDefault="00A14237" w:rsidP="00A14237">
      <w:pPr>
        <w:pStyle w:val="Paragraph"/>
      </w:pPr>
      <w:r w:rsidRPr="00A14237">
        <w:t>Device Installation:</w:t>
      </w:r>
    </w:p>
    <w:p w14:paraId="633519A6" w14:textId="77777777" w:rsidR="00A14237" w:rsidRDefault="00A14237" w:rsidP="00A14237">
      <w:pPr>
        <w:pStyle w:val="Paragraph1"/>
      </w:pPr>
      <w:r>
        <w:t>Replace devices that have been in temporary use during construction and that were installed before building finishing operations were complete.</w:t>
      </w:r>
    </w:p>
    <w:p w14:paraId="0725E759" w14:textId="77777777" w:rsidR="00A14237" w:rsidRDefault="00A14237" w:rsidP="00A14237">
      <w:pPr>
        <w:pStyle w:val="Paragraph1"/>
      </w:pPr>
      <w:r>
        <w:t>Keep each wiring device in its package or otherwise protected until it is time to connect conductors.</w:t>
      </w:r>
    </w:p>
    <w:p w14:paraId="54290657" w14:textId="77777777" w:rsidR="00A14237" w:rsidRDefault="00A14237" w:rsidP="00A14237">
      <w:pPr>
        <w:pStyle w:val="Paragraph1"/>
      </w:pPr>
      <w:r>
        <w:lastRenderedPageBreak/>
        <w:t>Do not remove surface protection, such as plastic film and smudge covers, until the last possible moment.</w:t>
      </w:r>
    </w:p>
    <w:p w14:paraId="44E51C9C" w14:textId="77777777" w:rsidR="00A14237" w:rsidRDefault="00A14237" w:rsidP="00A14237">
      <w:pPr>
        <w:pStyle w:val="Paragraph1"/>
      </w:pPr>
      <w:r>
        <w:t>Connect devices to branch circuits using pigtails that are not less than 6 inches in length.</w:t>
      </w:r>
    </w:p>
    <w:p w14:paraId="248760D1" w14:textId="77777777" w:rsidR="00A14237" w:rsidRDefault="00A14237" w:rsidP="00A14237">
      <w:pPr>
        <w:pStyle w:val="Paragraph1"/>
      </w:pPr>
      <w:r>
        <w:t>When there is a choice, use side wiring with binding-head screw terminals. Wrap solid conductor tightly clockwise, two-thirds to three-fourths of the way around terminal screw.</w:t>
      </w:r>
    </w:p>
    <w:p w14:paraId="789A0B16" w14:textId="77777777" w:rsidR="00A14237" w:rsidRDefault="00A14237" w:rsidP="00A14237">
      <w:pPr>
        <w:pStyle w:val="Paragraph1"/>
      </w:pPr>
      <w:r>
        <w:t>Use a torque screwdriver when a torque is recommended or required by manufacturer.</w:t>
      </w:r>
    </w:p>
    <w:p w14:paraId="48A8510A" w14:textId="77777777" w:rsidR="00A14237" w:rsidRDefault="00A14237" w:rsidP="00A14237">
      <w:pPr>
        <w:pStyle w:val="Paragraph1"/>
      </w:pPr>
      <w:r>
        <w:t>When conductors larger than No. 12 AWG are installed on 15- or 20-A circuits, splice No. 12 AWG pigtails for device connections.</w:t>
      </w:r>
    </w:p>
    <w:p w14:paraId="7C39C4D2" w14:textId="77777777" w:rsidR="00A14237" w:rsidRDefault="00A14237" w:rsidP="00A14237">
      <w:pPr>
        <w:pStyle w:val="Paragraph1"/>
      </w:pPr>
      <w:r>
        <w:t>Tighten unused terminal screws on the device.</w:t>
      </w:r>
    </w:p>
    <w:p w14:paraId="4F40A479" w14:textId="77777777" w:rsidR="00A14237" w:rsidRDefault="00A14237" w:rsidP="00A14237">
      <w:pPr>
        <w:pStyle w:val="Paragraph1"/>
      </w:pPr>
      <w:r>
        <w:t>When mounting into metal boxes, remove the fiber or plastic washers used to hold device-mounting screws in yokes, allowing metal-to-metal contact.</w:t>
      </w:r>
    </w:p>
    <w:p w14:paraId="6A77197C" w14:textId="77777777" w:rsidR="00A14237" w:rsidRDefault="00A14237" w:rsidP="00A14237">
      <w:pPr>
        <w:pStyle w:val="Paragraph"/>
      </w:pPr>
      <w:r>
        <w:t>Receptacle Orientation:</w:t>
      </w:r>
    </w:p>
    <w:p w14:paraId="76199DE2" w14:textId="77777777" w:rsidR="00A14237" w:rsidRDefault="00A14237" w:rsidP="00A14237">
      <w:pPr>
        <w:pStyle w:val="Paragraph1"/>
      </w:pPr>
      <w:r>
        <w:t>Install ground pin of vertically mounted receptacles down, and on horizontally mounted receptacles to the right.</w:t>
      </w:r>
    </w:p>
    <w:p w14:paraId="6EEF8F84" w14:textId="77777777" w:rsidR="00A14237" w:rsidRDefault="00A14237" w:rsidP="00A14237">
      <w:pPr>
        <w:pStyle w:val="Paragraph"/>
      </w:pPr>
      <w:r>
        <w:t>Device Plates: Do not use oversized or extra-deep plates. Repair wall finishes and remount outlet boxes when standard device plates do not fit flush or do not cover rough wall opening.</w:t>
      </w:r>
    </w:p>
    <w:p w14:paraId="7761A19A" w14:textId="77777777" w:rsidR="00A14237" w:rsidRDefault="00A14237" w:rsidP="00A14237">
      <w:pPr>
        <w:pStyle w:val="Paragraph"/>
      </w:pPr>
      <w:r>
        <w:t>Dimmers:</w:t>
      </w:r>
    </w:p>
    <w:p w14:paraId="77818B4D" w14:textId="77777777" w:rsidR="00A14237" w:rsidRDefault="00A14237" w:rsidP="00A14237">
      <w:pPr>
        <w:pStyle w:val="Paragraph1"/>
      </w:pPr>
      <w:r>
        <w:t>Install dimmers within terms of their listing.</w:t>
      </w:r>
    </w:p>
    <w:p w14:paraId="3FC9FAA4" w14:textId="77777777" w:rsidR="00A14237" w:rsidRDefault="00A14237" w:rsidP="00A14237">
      <w:pPr>
        <w:pStyle w:val="Paragraph1"/>
      </w:pPr>
      <w:r>
        <w:t>Install unshared neutral conductors on line and load side of dimmers according to manufacturers' device listing conditions in the written instructions.</w:t>
      </w:r>
    </w:p>
    <w:p w14:paraId="12A2EB8D" w14:textId="53CB3595" w:rsidR="00A14237" w:rsidRDefault="00A14237" w:rsidP="00A14237">
      <w:pPr>
        <w:pStyle w:val="Paragraph"/>
      </w:pPr>
      <w:r>
        <w:t>Arrangement of Devices: Unless otherwise indicated, mount flush, with long dimension vertical and with grounding terminal of receptacles on top. Group adjacent switches under single, multi</w:t>
      </w:r>
      <w:r w:rsidR="00443909">
        <w:t>-</w:t>
      </w:r>
      <w:r>
        <w:t>gang wall plates.</w:t>
      </w:r>
    </w:p>
    <w:p w14:paraId="0F333A85" w14:textId="77777777" w:rsidR="00A14237" w:rsidRDefault="00A14237" w:rsidP="00A14237">
      <w:pPr>
        <w:pStyle w:val="Paragraph"/>
      </w:pPr>
      <w:r>
        <w:t>Adjust locations of floor service outlets and service poles to suit arrangement of partitions and furnishings.</w:t>
      </w:r>
    </w:p>
    <w:p w14:paraId="7AE97CE1" w14:textId="77777777" w:rsidR="00A14237" w:rsidRDefault="00A14237" w:rsidP="00A14237">
      <w:pPr>
        <w:pStyle w:val="ArticleHeading"/>
      </w:pPr>
      <w:r>
        <w:t>GFCI RECEPTACLES</w:t>
      </w:r>
    </w:p>
    <w:p w14:paraId="6A68B973" w14:textId="77777777" w:rsidR="00A14237" w:rsidRDefault="00A14237" w:rsidP="00A14237">
      <w:pPr>
        <w:pStyle w:val="Paragraph"/>
      </w:pPr>
      <w:r>
        <w:t>Install non-feed-through-type GFCI receptacles where protection of downstream receptacles is not required.</w:t>
      </w:r>
    </w:p>
    <w:p w14:paraId="4E9F5867" w14:textId="77777777" w:rsidR="00A14237" w:rsidRDefault="00A14237" w:rsidP="00A14237">
      <w:pPr>
        <w:pStyle w:val="ArticleHeading"/>
      </w:pPr>
      <w:r>
        <w:t>IDENTIFICATION</w:t>
      </w:r>
    </w:p>
    <w:p w14:paraId="520F4946" w14:textId="77777777" w:rsidR="00A14237" w:rsidRDefault="00A14237" w:rsidP="00A14237">
      <w:pPr>
        <w:pStyle w:val="Paragraph"/>
      </w:pPr>
      <w:r>
        <w:t>Comply with Section 26 0553 "Identification for Electrical Systems."</w:t>
      </w:r>
    </w:p>
    <w:p w14:paraId="2F7AE4D0" w14:textId="77777777" w:rsidR="00A14237" w:rsidRDefault="00A14237" w:rsidP="00A14237">
      <w:pPr>
        <w:pStyle w:val="Paragraph"/>
      </w:pPr>
      <w:r>
        <w:t>Identify each receptacle with panelboard identification and circuit number. Use hot, stamped, or engraved machine printing with black-filled lettering on face of plate, and durable wire markers or tags inside outlet boxes.</w:t>
      </w:r>
    </w:p>
    <w:p w14:paraId="0DA088DD" w14:textId="77777777" w:rsidR="00A14237" w:rsidRDefault="00A14237" w:rsidP="00A14237">
      <w:pPr>
        <w:pStyle w:val="ArticleHeading"/>
      </w:pPr>
      <w:r>
        <w:t>FIELD QUALITY CONTROL</w:t>
      </w:r>
    </w:p>
    <w:p w14:paraId="62AF4D8A" w14:textId="77777777" w:rsidR="00A14237" w:rsidRDefault="00A14237" w:rsidP="00A14237">
      <w:pPr>
        <w:pStyle w:val="Paragraph"/>
      </w:pPr>
      <w:r>
        <w:t>Test Instruments: Use instruments that comply with UL 1436.</w:t>
      </w:r>
    </w:p>
    <w:p w14:paraId="7A3E9D5E" w14:textId="77777777" w:rsidR="00A14237" w:rsidRDefault="00A14237" w:rsidP="00A14237">
      <w:pPr>
        <w:pStyle w:val="Paragraph"/>
      </w:pPr>
      <w:r>
        <w:lastRenderedPageBreak/>
        <w:t>Test Instrument for Convenience Receptacles: Digital wiring analyzer with digital readout or illuminated digital-display indicators of measurement.</w:t>
      </w:r>
    </w:p>
    <w:p w14:paraId="4F28111D" w14:textId="77777777" w:rsidR="00A14237" w:rsidRDefault="00A14237" w:rsidP="00A14237">
      <w:pPr>
        <w:pStyle w:val="Paragraph"/>
      </w:pPr>
      <w:r>
        <w:t>Perform the following tests and inspections:</w:t>
      </w:r>
    </w:p>
    <w:p w14:paraId="4F256A03" w14:textId="77777777" w:rsidR="00A14237" w:rsidRDefault="00A14237" w:rsidP="00A14237">
      <w:pPr>
        <w:pStyle w:val="Paragraph1"/>
      </w:pPr>
      <w:r>
        <w:t>Test Instruments: Use instruments that comply with UL 1436.</w:t>
      </w:r>
    </w:p>
    <w:p w14:paraId="6960E52E" w14:textId="77777777" w:rsidR="00A14237" w:rsidRDefault="00A14237" w:rsidP="00A14237">
      <w:pPr>
        <w:pStyle w:val="Paragraph1"/>
      </w:pPr>
      <w:r>
        <w:t>Test Instrument for Convenience Receptacles: Digital wiring analyzer with digital readout or illuminated digital-display indicators of measurement.</w:t>
      </w:r>
    </w:p>
    <w:p w14:paraId="3DF9FDED" w14:textId="77777777" w:rsidR="00A14237" w:rsidRDefault="00A14237" w:rsidP="00A14237">
      <w:pPr>
        <w:pStyle w:val="Paragraph"/>
      </w:pPr>
      <w:r>
        <w:t>Tests for Convenience Receptacles:</w:t>
      </w:r>
    </w:p>
    <w:p w14:paraId="3A8F32EE" w14:textId="77777777" w:rsidR="00A14237" w:rsidRDefault="00A14237" w:rsidP="00A14237">
      <w:pPr>
        <w:pStyle w:val="Paragraph1"/>
      </w:pPr>
      <w:r>
        <w:t>Line Voltage: Acceptable range is 105 to 132 V.</w:t>
      </w:r>
    </w:p>
    <w:p w14:paraId="22A1B964" w14:textId="77777777" w:rsidR="00A14237" w:rsidRDefault="00A14237" w:rsidP="00A14237">
      <w:pPr>
        <w:pStyle w:val="Paragraph1"/>
      </w:pPr>
      <w:r>
        <w:t>Percent Voltage Drop under 15-A Load: A value of 6 percent or higher is unacceptable.</w:t>
      </w:r>
    </w:p>
    <w:p w14:paraId="3151FE81" w14:textId="77777777" w:rsidR="00A14237" w:rsidRDefault="00A14237" w:rsidP="00A14237">
      <w:pPr>
        <w:pStyle w:val="Paragraph1"/>
      </w:pPr>
      <w:r>
        <w:t>Ground Impedance: Values of up to 2 ohms are acceptable.</w:t>
      </w:r>
    </w:p>
    <w:p w14:paraId="319D7826" w14:textId="77777777" w:rsidR="00A14237" w:rsidRDefault="00A14237" w:rsidP="00A14237">
      <w:pPr>
        <w:pStyle w:val="Paragraph1"/>
      </w:pPr>
      <w:r>
        <w:t>GFCI Trip: Test for tripping values specified in UL 1436 and UL 943.</w:t>
      </w:r>
    </w:p>
    <w:p w14:paraId="0117291E" w14:textId="77777777" w:rsidR="00A14237" w:rsidRDefault="00A14237" w:rsidP="00A14237">
      <w:pPr>
        <w:pStyle w:val="Paragraph1"/>
      </w:pPr>
      <w:r>
        <w:t>Using the test plug, verify that the device and its outlet box are securely mounted.</w:t>
      </w:r>
    </w:p>
    <w:p w14:paraId="7091192B" w14:textId="77777777" w:rsidR="00A14237" w:rsidRDefault="00A14237" w:rsidP="00A14237">
      <w:pPr>
        <w:pStyle w:val="Paragraph1"/>
      </w:pPr>
      <w:r>
        <w:t>Tests shall be diagnostic, indicating damaged conductors, high resistance at the circuit breaker, poor connections, inadequate fault current path, defective devices, or similar problems. Correct circuit conditions, remove malfunctioning units and replace with new ones, and retest as specified above.</w:t>
      </w:r>
    </w:p>
    <w:p w14:paraId="097F8C73" w14:textId="77777777" w:rsidR="00A14237" w:rsidRDefault="00A14237" w:rsidP="00A14237">
      <w:pPr>
        <w:pStyle w:val="Paragraph"/>
      </w:pPr>
      <w:r>
        <w:t>Wiring device will be considered defective if it does not pass tests and inspections.</w:t>
      </w:r>
    </w:p>
    <w:p w14:paraId="7D3BC029" w14:textId="77777777" w:rsidR="00A14237" w:rsidRDefault="00A14237" w:rsidP="00A14237">
      <w:pPr>
        <w:pStyle w:val="Paragraph"/>
      </w:pPr>
      <w:r>
        <w:t>Prepare test and inspection reports.</w:t>
      </w:r>
    </w:p>
    <w:p w14:paraId="10C23100" w14:textId="77777777" w:rsidR="00ED49FD" w:rsidRDefault="00ED49FD" w:rsidP="00ED49FD">
      <w:pPr>
        <w:pStyle w:val="EndofSection"/>
      </w:pPr>
      <w:r>
        <w:t>+</w:t>
      </w:r>
      <w:r w:rsidR="00966BB0">
        <w:t xml:space="preserve"> </w:t>
      </w:r>
      <w:r>
        <w:t>+</w:t>
      </w:r>
      <w:r w:rsidR="00966BB0">
        <w:t xml:space="preserve"> </w:t>
      </w:r>
      <w:r>
        <w:t>END OF SECTION</w:t>
      </w:r>
      <w:r w:rsidR="00966BB0">
        <w:t xml:space="preserve"> </w:t>
      </w:r>
      <w:r>
        <w:t>+</w:t>
      </w:r>
      <w:r w:rsidR="00966BB0">
        <w:t xml:space="preserve"> </w:t>
      </w:r>
      <w:r>
        <w:t>+</w:t>
      </w:r>
    </w:p>
    <w:sectPr w:rsidR="00ED49FD" w:rsidSect="00D65AC1">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ACEF4" w14:textId="77777777" w:rsidR="00435B9E" w:rsidRDefault="00435B9E">
      <w:r>
        <w:separator/>
      </w:r>
    </w:p>
  </w:endnote>
  <w:endnote w:type="continuationSeparator" w:id="0">
    <w:p w14:paraId="6FF3F78F" w14:textId="77777777" w:rsidR="00435B9E" w:rsidRDefault="0043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C924" w14:textId="77777777" w:rsidR="00EF66B4" w:rsidRPr="00227D90" w:rsidRDefault="00EF66B4" w:rsidP="00227D90">
    <w:pPr>
      <w:pStyle w:val="Footer"/>
      <w:rPr>
        <w:sz w:val="22"/>
        <w:szCs w:val="22"/>
      </w:rPr>
    </w:pPr>
    <w:r w:rsidRPr="00227D90">
      <w:rPr>
        <w:sz w:val="22"/>
        <w:szCs w:val="22"/>
      </w:rPr>
      <w:t>v. 1</w:t>
    </w:r>
    <w:r>
      <w:rPr>
        <w:sz w:val="22"/>
        <w:szCs w:val="22"/>
      </w:rPr>
      <w:t>2.19</w:t>
    </w:r>
    <w:r w:rsidRPr="00227D90">
      <w:rPr>
        <w:sz w:val="22"/>
        <w:szCs w:val="22"/>
      </w:rPr>
      <w:tab/>
    </w:r>
    <w:r>
      <w:rPr>
        <w:sz w:val="22"/>
        <w:szCs w:val="22"/>
      </w:rPr>
      <w:t>Lawns and Grasses</w:t>
    </w:r>
    <w:r w:rsidRPr="00227D90">
      <w:rPr>
        <w:sz w:val="22"/>
        <w:szCs w:val="22"/>
      </w:rPr>
      <w:t xml:space="preserve"> – </w:t>
    </w:r>
    <w:r>
      <w:rPr>
        <w:sz w:val="22"/>
        <w:szCs w:val="22"/>
      </w:rPr>
      <w:t>32 92</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65AC1">
      <w:rPr>
        <w:noProof/>
        <w:sz w:val="22"/>
        <w:szCs w:val="22"/>
      </w:rPr>
      <w:t>10</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8127" w14:textId="657C4377" w:rsidR="00EF66B4" w:rsidRPr="00227D90" w:rsidRDefault="00EF66B4">
    <w:pPr>
      <w:pStyle w:val="Footer"/>
      <w:rPr>
        <w:sz w:val="22"/>
        <w:szCs w:val="22"/>
      </w:rPr>
    </w:pPr>
    <w:r w:rsidRPr="00227D90">
      <w:rPr>
        <w:sz w:val="22"/>
        <w:szCs w:val="22"/>
      </w:rPr>
      <w:t xml:space="preserve">v. </w:t>
    </w:r>
    <w:r w:rsidR="00F979EA">
      <w:rPr>
        <w:sz w:val="22"/>
        <w:szCs w:val="22"/>
      </w:rPr>
      <w:t>11</w:t>
    </w:r>
    <w:r w:rsidR="00005FC8">
      <w:rPr>
        <w:sz w:val="22"/>
        <w:szCs w:val="22"/>
      </w:rPr>
      <w:t>.</w:t>
    </w:r>
    <w:r w:rsidR="00F979EA">
      <w:rPr>
        <w:sz w:val="22"/>
        <w:szCs w:val="22"/>
      </w:rPr>
      <w:t>18</w:t>
    </w:r>
    <w:r w:rsidRPr="00227D90">
      <w:rPr>
        <w:sz w:val="22"/>
        <w:szCs w:val="22"/>
      </w:rPr>
      <w:tab/>
    </w:r>
    <w:r w:rsidR="00A14237">
      <w:rPr>
        <w:sz w:val="22"/>
        <w:szCs w:val="22"/>
      </w:rPr>
      <w:t>Wiring Devices</w:t>
    </w:r>
    <w:r w:rsidRPr="00227D90">
      <w:rPr>
        <w:sz w:val="22"/>
        <w:szCs w:val="22"/>
      </w:rPr>
      <w:t xml:space="preserve"> – </w:t>
    </w:r>
    <w:r w:rsidR="001B21EA">
      <w:rPr>
        <w:sz w:val="22"/>
        <w:szCs w:val="22"/>
      </w:rPr>
      <w:t>26 27 26</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C53EA">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4110" w14:textId="77777777" w:rsidR="00435B9E" w:rsidRDefault="00435B9E">
      <w:r>
        <w:separator/>
      </w:r>
    </w:p>
  </w:footnote>
  <w:footnote w:type="continuationSeparator" w:id="0">
    <w:p w14:paraId="591FE572" w14:textId="77777777" w:rsidR="00435B9E" w:rsidRDefault="00435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D92796"/>
    <w:multiLevelType w:val="hybridMultilevel"/>
    <w:tmpl w:val="C3529C7E"/>
    <w:lvl w:ilvl="0" w:tplc="FDC62974">
      <w:start w:val="4"/>
      <w:numFmt w:val="decimal"/>
      <w:lvlText w:val="%1."/>
      <w:lvlJc w:val="left"/>
      <w:pPr>
        <w:ind w:left="1987" w:hanging="360"/>
      </w:pPr>
      <w:rPr>
        <w:rFonts w:cs="Times New Roman" w:hint="default"/>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11">
    <w:nsid w:val="19D95155"/>
    <w:multiLevelType w:val="multilevel"/>
    <w:tmpl w:val="6D56E752"/>
    <w:lvl w:ilvl="0">
      <w:start w:val="1"/>
      <w:numFmt w:val="decimal"/>
      <w:lvlText w:val="%1"/>
      <w:lvlJc w:val="left"/>
      <w:pPr>
        <w:ind w:left="983" w:hanging="865"/>
      </w:pPr>
      <w:rPr>
        <w:rFonts w:hint="default"/>
        <w:lang w:val="en-US" w:eastAsia="en-US" w:bidi="en-US"/>
      </w:rPr>
    </w:lvl>
    <w:lvl w:ilvl="1">
      <w:start w:val="1"/>
      <w:numFmt w:val="decimal"/>
      <w:lvlText w:val="%2."/>
      <w:lvlJc w:val="left"/>
      <w:pPr>
        <w:ind w:left="983" w:hanging="865"/>
      </w:pPr>
      <w:rPr>
        <w:rFonts w:ascii="Times New Roman" w:hAnsi="Times New Roman" w:hint="default"/>
        <w:spacing w:val="-1"/>
        <w:w w:val="99"/>
        <w:sz w:val="22"/>
        <w:szCs w:val="20"/>
        <w:lang w:val="en-US" w:eastAsia="en-US" w:bidi="en-US"/>
      </w:rPr>
    </w:lvl>
    <w:lvl w:ilvl="2">
      <w:start w:val="1"/>
      <w:numFmt w:val="upperLetter"/>
      <w:lvlText w:val="%3."/>
      <w:lvlJc w:val="left"/>
      <w:pPr>
        <w:ind w:left="983"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59" w:hanging="576"/>
      </w:pPr>
      <w:rPr>
        <w:rFonts w:ascii="Arial" w:eastAsia="Arial" w:hAnsi="Arial" w:cs="Arial" w:hint="default"/>
        <w:spacing w:val="-1"/>
        <w:w w:val="99"/>
        <w:sz w:val="20"/>
        <w:szCs w:val="20"/>
        <w:lang w:val="en-US" w:eastAsia="en-US" w:bidi="en-US"/>
      </w:rPr>
    </w:lvl>
    <w:lvl w:ilvl="4">
      <w:start w:val="1"/>
      <w:numFmt w:val="lowerLetter"/>
      <w:lvlText w:val="%5."/>
      <w:lvlJc w:val="left"/>
      <w:pPr>
        <w:ind w:left="2135" w:hanging="576"/>
      </w:pPr>
      <w:rPr>
        <w:rFonts w:ascii="Arial" w:eastAsia="Arial" w:hAnsi="Arial" w:cs="Arial" w:hint="default"/>
        <w:spacing w:val="-1"/>
        <w:w w:val="99"/>
        <w:sz w:val="20"/>
        <w:szCs w:val="20"/>
        <w:lang w:val="en-US" w:eastAsia="en-US" w:bidi="en-US"/>
      </w:rPr>
    </w:lvl>
    <w:lvl w:ilvl="5">
      <w:numFmt w:val="bullet"/>
      <w:lvlText w:val="•"/>
      <w:lvlJc w:val="left"/>
      <w:pPr>
        <w:ind w:left="4937" w:hanging="576"/>
      </w:pPr>
      <w:rPr>
        <w:rFonts w:hint="default"/>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12">
    <w:nsid w:val="2C986F6E"/>
    <w:multiLevelType w:val="multilevel"/>
    <w:tmpl w:val="6A7EF6C2"/>
    <w:lvl w:ilvl="0">
      <w:start w:val="1"/>
      <w:numFmt w:val="decimal"/>
      <w:pStyle w:val="PartDesignation"/>
      <w:suff w:val="space"/>
      <w:lvlText w:val="PART %1"/>
      <w:lvlJc w:val="left"/>
      <w:pPr>
        <w:ind w:left="90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ascii="Times New Roman" w:eastAsia="Times New Roman" w:hAnsi="Times New Roman" w:cs="Times New Roman"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432"/>
        </w:tabs>
        <w:ind w:left="43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9A3D58"/>
    <w:multiLevelType w:val="multilevel"/>
    <w:tmpl w:val="E1D64F76"/>
    <w:lvl w:ilvl="0">
      <w:start w:val="2"/>
      <w:numFmt w:val="decimal"/>
      <w:lvlText w:val="%1"/>
      <w:lvlJc w:val="left"/>
      <w:pPr>
        <w:ind w:left="984" w:hanging="865"/>
      </w:pPr>
      <w:rPr>
        <w:rFonts w:hint="default"/>
        <w:lang w:val="en-US" w:eastAsia="en-US" w:bidi="en-US"/>
      </w:rPr>
    </w:lvl>
    <w:lvl w:ilvl="1">
      <w:start w:val="1"/>
      <w:numFmt w:val="decimal"/>
      <w:lvlText w:val="%1.%2"/>
      <w:lvlJc w:val="left"/>
      <w:pPr>
        <w:ind w:left="984"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984"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60" w:hanging="576"/>
      </w:pPr>
      <w:rPr>
        <w:rFonts w:ascii="Arial" w:eastAsia="Arial" w:hAnsi="Arial" w:cs="Arial" w:hint="default"/>
        <w:spacing w:val="-1"/>
        <w:w w:val="99"/>
        <w:sz w:val="20"/>
        <w:szCs w:val="20"/>
        <w:lang w:val="en-US" w:eastAsia="en-US" w:bidi="en-US"/>
      </w:rPr>
    </w:lvl>
    <w:lvl w:ilvl="4">
      <w:numFmt w:val="bullet"/>
      <w:lvlText w:val="•"/>
      <w:lvlJc w:val="left"/>
      <w:pPr>
        <w:ind w:left="4240" w:hanging="576"/>
      </w:pPr>
      <w:rPr>
        <w:rFonts w:hint="default"/>
        <w:lang w:val="en-US" w:eastAsia="en-US" w:bidi="en-US"/>
      </w:rPr>
    </w:lvl>
    <w:lvl w:ilvl="5">
      <w:numFmt w:val="bullet"/>
      <w:lvlText w:val="•"/>
      <w:lvlJc w:val="left"/>
      <w:pPr>
        <w:ind w:left="5133" w:hanging="576"/>
      </w:pPr>
      <w:rPr>
        <w:rFonts w:hint="default"/>
        <w:lang w:val="en-US" w:eastAsia="en-US" w:bidi="en-US"/>
      </w:rPr>
    </w:lvl>
    <w:lvl w:ilvl="6">
      <w:numFmt w:val="bullet"/>
      <w:lvlText w:val="•"/>
      <w:lvlJc w:val="left"/>
      <w:pPr>
        <w:ind w:left="6026" w:hanging="576"/>
      </w:pPr>
      <w:rPr>
        <w:rFonts w:hint="default"/>
        <w:lang w:val="en-US" w:eastAsia="en-US" w:bidi="en-US"/>
      </w:rPr>
    </w:lvl>
    <w:lvl w:ilvl="7">
      <w:numFmt w:val="bullet"/>
      <w:lvlText w:val="•"/>
      <w:lvlJc w:val="left"/>
      <w:pPr>
        <w:ind w:left="6920" w:hanging="576"/>
      </w:pPr>
      <w:rPr>
        <w:rFonts w:hint="default"/>
        <w:lang w:val="en-US" w:eastAsia="en-US" w:bidi="en-US"/>
      </w:rPr>
    </w:lvl>
    <w:lvl w:ilvl="8">
      <w:numFmt w:val="bullet"/>
      <w:lvlText w:val="•"/>
      <w:lvlJc w:val="left"/>
      <w:pPr>
        <w:ind w:left="7813" w:hanging="576"/>
      </w:pPr>
      <w:rPr>
        <w:rFonts w:hint="default"/>
        <w:lang w:val="en-US" w:eastAsia="en-US" w:bidi="en-US"/>
      </w:r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FAD0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6"/>
  </w:num>
  <w:num w:numId="3">
    <w:abstractNumId w:val="15"/>
  </w:num>
  <w:num w:numId="4">
    <w:abstractNumId w:val="18"/>
  </w:num>
  <w:num w:numId="5">
    <w:abstractNumId w:val="13"/>
  </w:num>
  <w:num w:numId="6">
    <w:abstractNumId w:val="2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0"/>
  </w:num>
  <w:num w:numId="2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1"/>
  </w:num>
  <w:num w:numId="32">
    <w:abstractNumId w:val="21"/>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David">
    <w15:presenceInfo w15:providerId="AD" w15:userId="S-1-5-21-1177238915-2052111302-725345543-351176"/>
  </w15:person>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4E4C"/>
    <w:rsid w:val="00005FC8"/>
    <w:rsid w:val="00017984"/>
    <w:rsid w:val="00023A01"/>
    <w:rsid w:val="000337F1"/>
    <w:rsid w:val="00086B2E"/>
    <w:rsid w:val="000D5648"/>
    <w:rsid w:val="000E3BCB"/>
    <w:rsid w:val="00124710"/>
    <w:rsid w:val="001449C5"/>
    <w:rsid w:val="001572EB"/>
    <w:rsid w:val="00163B75"/>
    <w:rsid w:val="00164C9E"/>
    <w:rsid w:val="001A46EA"/>
    <w:rsid w:val="001B21EA"/>
    <w:rsid w:val="001B6F65"/>
    <w:rsid w:val="001D7095"/>
    <w:rsid w:val="00205A26"/>
    <w:rsid w:val="0022584E"/>
    <w:rsid w:val="002262C5"/>
    <w:rsid w:val="00227D90"/>
    <w:rsid w:val="002329F7"/>
    <w:rsid w:val="0027595D"/>
    <w:rsid w:val="002B2FE4"/>
    <w:rsid w:val="002D1C18"/>
    <w:rsid w:val="002E0449"/>
    <w:rsid w:val="002F7D32"/>
    <w:rsid w:val="00303200"/>
    <w:rsid w:val="003205EB"/>
    <w:rsid w:val="003257D7"/>
    <w:rsid w:val="00344E48"/>
    <w:rsid w:val="003520B8"/>
    <w:rsid w:val="003A123E"/>
    <w:rsid w:val="003D3678"/>
    <w:rsid w:val="003E7AB8"/>
    <w:rsid w:val="00401362"/>
    <w:rsid w:val="004063C7"/>
    <w:rsid w:val="0041371C"/>
    <w:rsid w:val="00421C0A"/>
    <w:rsid w:val="00433F7E"/>
    <w:rsid w:val="00435B9E"/>
    <w:rsid w:val="00442BE6"/>
    <w:rsid w:val="00443909"/>
    <w:rsid w:val="00445A5A"/>
    <w:rsid w:val="00451B32"/>
    <w:rsid w:val="004622F1"/>
    <w:rsid w:val="0048478F"/>
    <w:rsid w:val="004878CE"/>
    <w:rsid w:val="004919BB"/>
    <w:rsid w:val="004B56F8"/>
    <w:rsid w:val="004D77E5"/>
    <w:rsid w:val="004F694C"/>
    <w:rsid w:val="0055304E"/>
    <w:rsid w:val="005F25FF"/>
    <w:rsid w:val="005F60CD"/>
    <w:rsid w:val="00614FAB"/>
    <w:rsid w:val="00621028"/>
    <w:rsid w:val="00641FED"/>
    <w:rsid w:val="00655029"/>
    <w:rsid w:val="006712E4"/>
    <w:rsid w:val="006A5987"/>
    <w:rsid w:val="006C394E"/>
    <w:rsid w:val="006F6CDC"/>
    <w:rsid w:val="0072287D"/>
    <w:rsid w:val="00727B9E"/>
    <w:rsid w:val="00745138"/>
    <w:rsid w:val="0074634B"/>
    <w:rsid w:val="0074686F"/>
    <w:rsid w:val="007553C5"/>
    <w:rsid w:val="00764A6C"/>
    <w:rsid w:val="00782E2C"/>
    <w:rsid w:val="00794139"/>
    <w:rsid w:val="007D7942"/>
    <w:rsid w:val="007F439C"/>
    <w:rsid w:val="00814647"/>
    <w:rsid w:val="0084360E"/>
    <w:rsid w:val="00864BEE"/>
    <w:rsid w:val="00884065"/>
    <w:rsid w:val="00890D08"/>
    <w:rsid w:val="0089231D"/>
    <w:rsid w:val="008A11A8"/>
    <w:rsid w:val="008A22A6"/>
    <w:rsid w:val="008D6EC1"/>
    <w:rsid w:val="008F400C"/>
    <w:rsid w:val="008F6F43"/>
    <w:rsid w:val="00926360"/>
    <w:rsid w:val="00936317"/>
    <w:rsid w:val="00950897"/>
    <w:rsid w:val="00952C4C"/>
    <w:rsid w:val="00966BB0"/>
    <w:rsid w:val="009C5C29"/>
    <w:rsid w:val="00A14237"/>
    <w:rsid w:val="00A50AA6"/>
    <w:rsid w:val="00A7675F"/>
    <w:rsid w:val="00A92EAF"/>
    <w:rsid w:val="00AB092D"/>
    <w:rsid w:val="00AC39C8"/>
    <w:rsid w:val="00AD60D0"/>
    <w:rsid w:val="00B90CC5"/>
    <w:rsid w:val="00BA42A1"/>
    <w:rsid w:val="00BD4AE0"/>
    <w:rsid w:val="00BF6073"/>
    <w:rsid w:val="00C01432"/>
    <w:rsid w:val="00C1211E"/>
    <w:rsid w:val="00C15E0A"/>
    <w:rsid w:val="00C825A0"/>
    <w:rsid w:val="00C8573A"/>
    <w:rsid w:val="00C87262"/>
    <w:rsid w:val="00CE09DE"/>
    <w:rsid w:val="00D11CAC"/>
    <w:rsid w:val="00D30DB7"/>
    <w:rsid w:val="00D31522"/>
    <w:rsid w:val="00D65AC1"/>
    <w:rsid w:val="00D77CCD"/>
    <w:rsid w:val="00D93FD8"/>
    <w:rsid w:val="00DB057D"/>
    <w:rsid w:val="00DB2029"/>
    <w:rsid w:val="00DC725E"/>
    <w:rsid w:val="00DE08FC"/>
    <w:rsid w:val="00DF0D83"/>
    <w:rsid w:val="00E32E41"/>
    <w:rsid w:val="00E35F7C"/>
    <w:rsid w:val="00E5014A"/>
    <w:rsid w:val="00E56014"/>
    <w:rsid w:val="00E579E3"/>
    <w:rsid w:val="00E7379B"/>
    <w:rsid w:val="00EB0E5F"/>
    <w:rsid w:val="00EB3353"/>
    <w:rsid w:val="00ED49FD"/>
    <w:rsid w:val="00EE73D5"/>
    <w:rsid w:val="00EE79AB"/>
    <w:rsid w:val="00EF1602"/>
    <w:rsid w:val="00EF3A47"/>
    <w:rsid w:val="00EF66B4"/>
    <w:rsid w:val="00F663B7"/>
    <w:rsid w:val="00F709CA"/>
    <w:rsid w:val="00F8618D"/>
    <w:rsid w:val="00F979EA"/>
    <w:rsid w:val="00FB3CC5"/>
    <w:rsid w:val="00FC53EA"/>
    <w:rsid w:val="00F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rsid w:val="007D7942"/>
    <w:pPr>
      <w:numPr>
        <w:numId w:val="7"/>
      </w:numPr>
      <w:spacing w:before="480"/>
      <w:ind w:left="0"/>
    </w:pPr>
    <w:rPr>
      <w:caps/>
    </w:rPr>
  </w:style>
  <w:style w:type="paragraph" w:customStyle="1" w:styleId="ArticleHeading">
    <w:name w:val="Article Heading"/>
    <w:aliases w:val="art"/>
    <w:basedOn w:val="Normal"/>
    <w:rsid w:val="00C01432"/>
    <w:pPr>
      <w:numPr>
        <w:ilvl w:val="1"/>
        <w:numId w:val="7"/>
      </w:numPr>
      <w:spacing w:before="240"/>
    </w:pPr>
    <w:rPr>
      <w:caps/>
    </w:r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rsid w:val="007D7942"/>
    <w:pPr>
      <w:numPr>
        <w:ilvl w:val="4"/>
        <w:numId w:val="7"/>
      </w:numPr>
      <w:tabs>
        <w:tab w:val="clear" w:pos="432"/>
        <w:tab w:val="num" w:pos="1872"/>
      </w:tabs>
      <w:ind w:left="1872"/>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7D7942"/>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semiHidden/>
    <w:unhideWhenUsed/>
    <w:rsid w:val="00E7379B"/>
    <w:rPr>
      <w:sz w:val="16"/>
      <w:szCs w:val="16"/>
    </w:rPr>
  </w:style>
  <w:style w:type="paragraph" w:styleId="CommentText">
    <w:name w:val="annotation text"/>
    <w:basedOn w:val="Normal"/>
    <w:link w:val="CommentTextChar"/>
    <w:semiHidden/>
    <w:unhideWhenUsed/>
    <w:rsid w:val="00E7379B"/>
    <w:rPr>
      <w:sz w:val="20"/>
      <w:szCs w:val="20"/>
    </w:rPr>
  </w:style>
  <w:style w:type="character" w:customStyle="1" w:styleId="CommentTextChar">
    <w:name w:val="Comment Text Char"/>
    <w:basedOn w:val="DefaultParagraphFont"/>
    <w:link w:val="CommentText"/>
    <w:semiHidden/>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 w:type="paragraph" w:styleId="ListParagraph">
    <w:name w:val="List Paragraph"/>
    <w:basedOn w:val="Normal"/>
    <w:uiPriority w:val="1"/>
    <w:qFormat/>
    <w:rsid w:val="00C01432"/>
    <w:pPr>
      <w:widowControl w:val="0"/>
      <w:tabs>
        <w:tab w:val="clear" w:pos="576"/>
        <w:tab w:val="clear" w:pos="1008"/>
        <w:tab w:val="clear" w:pos="1440"/>
        <w:tab w:val="clear" w:pos="1872"/>
        <w:tab w:val="clear" w:pos="2304"/>
        <w:tab w:val="clear" w:pos="2736"/>
      </w:tabs>
      <w:autoSpaceDE w:val="0"/>
      <w:autoSpaceDN w:val="0"/>
      <w:ind w:left="983" w:hanging="576"/>
    </w:pPr>
    <w:rPr>
      <w:rFonts w:ascii="Arial" w:eastAsia="Arial" w:hAnsi="Arial" w:cs="Arial"/>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rsid w:val="007D7942"/>
    <w:pPr>
      <w:numPr>
        <w:numId w:val="7"/>
      </w:numPr>
      <w:spacing w:before="480"/>
      <w:ind w:left="0"/>
    </w:pPr>
    <w:rPr>
      <w:caps/>
    </w:rPr>
  </w:style>
  <w:style w:type="paragraph" w:customStyle="1" w:styleId="ArticleHeading">
    <w:name w:val="Article Heading"/>
    <w:aliases w:val="art"/>
    <w:basedOn w:val="Normal"/>
    <w:rsid w:val="00C01432"/>
    <w:pPr>
      <w:numPr>
        <w:ilvl w:val="1"/>
        <w:numId w:val="7"/>
      </w:numPr>
      <w:spacing w:before="240"/>
    </w:pPr>
    <w:rPr>
      <w:caps/>
    </w:r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rsid w:val="007D7942"/>
    <w:pPr>
      <w:numPr>
        <w:ilvl w:val="4"/>
        <w:numId w:val="7"/>
      </w:numPr>
      <w:tabs>
        <w:tab w:val="clear" w:pos="432"/>
        <w:tab w:val="num" w:pos="1872"/>
      </w:tabs>
      <w:ind w:left="1872"/>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7D7942"/>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semiHidden/>
    <w:unhideWhenUsed/>
    <w:rsid w:val="00E7379B"/>
    <w:rPr>
      <w:sz w:val="16"/>
      <w:szCs w:val="16"/>
    </w:rPr>
  </w:style>
  <w:style w:type="paragraph" w:styleId="CommentText">
    <w:name w:val="annotation text"/>
    <w:basedOn w:val="Normal"/>
    <w:link w:val="CommentTextChar"/>
    <w:semiHidden/>
    <w:unhideWhenUsed/>
    <w:rsid w:val="00E7379B"/>
    <w:rPr>
      <w:sz w:val="20"/>
      <w:szCs w:val="20"/>
    </w:rPr>
  </w:style>
  <w:style w:type="character" w:customStyle="1" w:styleId="CommentTextChar">
    <w:name w:val="Comment Text Char"/>
    <w:basedOn w:val="DefaultParagraphFont"/>
    <w:link w:val="CommentText"/>
    <w:semiHidden/>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 w:type="paragraph" w:styleId="ListParagraph">
    <w:name w:val="List Paragraph"/>
    <w:basedOn w:val="Normal"/>
    <w:uiPriority w:val="1"/>
    <w:qFormat/>
    <w:rsid w:val="00C01432"/>
    <w:pPr>
      <w:widowControl w:val="0"/>
      <w:tabs>
        <w:tab w:val="clear" w:pos="576"/>
        <w:tab w:val="clear" w:pos="1008"/>
        <w:tab w:val="clear" w:pos="1440"/>
        <w:tab w:val="clear" w:pos="1872"/>
        <w:tab w:val="clear" w:pos="2304"/>
        <w:tab w:val="clear" w:pos="2736"/>
      </w:tabs>
      <w:autoSpaceDE w:val="0"/>
      <w:autoSpaceDN w:val="0"/>
      <w:ind w:left="983" w:hanging="576"/>
    </w:pPr>
    <w:rPr>
      <w:rFonts w:ascii="Arial" w:eastAsia="Arial" w:hAnsi="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1</TotalTime>
  <Pages>10</Pages>
  <Words>2702</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32 92 00</vt:lpstr>
    </vt:vector>
  </TitlesOfParts>
  <Manager>Candy Jo Galindo</Manager>
  <Company>ARCADIS Giffels</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32 92 00</dc:title>
  <dc:subject>Lawns and Grasses</dc:subject>
  <dc:creator>KEB</dc:creator>
  <cp:keywords>000000000000 (00)</cp:keywords>
  <cp:lastModifiedBy>Stephen R Williams</cp:lastModifiedBy>
  <cp:revision>3</cp:revision>
  <cp:lastPrinted>2018-07-25T17:29:00Z</cp:lastPrinted>
  <dcterms:created xsi:type="dcterms:W3CDTF">2018-11-14T13:37:00Z</dcterms:created>
  <dcterms:modified xsi:type="dcterms:W3CDTF">2018-11-14T13:58:00Z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