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A9FE" w14:textId="44347BB3"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CITY OF FORT WAYNE MASTER </w:t>
      </w:r>
      <w:r w:rsidRPr="00A44D98">
        <w:tab/>
      </w:r>
      <w:r w:rsidRPr="00A44D98">
        <w:tab/>
        <w:t xml:space="preserve">    </w:t>
      </w:r>
      <w:r w:rsidRPr="00A44D98">
        <w:tab/>
        <w:t xml:space="preserve">                                                CREATED: </w:t>
      </w:r>
      <w:r w:rsidR="008C17C9">
        <w:t>11</w:t>
      </w:r>
      <w:r w:rsidRPr="00A44D98">
        <w:t>/</w:t>
      </w:r>
      <w:r w:rsidR="008C17C9">
        <w:t>16</w:t>
      </w:r>
      <w:r w:rsidRPr="00A44D98">
        <w:t>/18</w:t>
      </w:r>
    </w:p>
    <w:p w14:paraId="64DB3FAD" w14:textId="77777777" w:rsidR="00A90345" w:rsidRPr="00C1211E" w:rsidRDefault="00A90345" w:rsidP="00A90345">
      <w:pPr>
        <w:pStyle w:val="SectionNumber"/>
        <w:rPr>
          <w:rStyle w:val="PageNumber"/>
        </w:rPr>
      </w:pPr>
      <w:r w:rsidRPr="00C1211E">
        <w:rPr>
          <w:rStyle w:val="PageNumber"/>
        </w:rPr>
        <w:t xml:space="preserve">SECTION </w:t>
      </w:r>
      <w:r>
        <w:t>26 43 13</w:t>
      </w:r>
    </w:p>
    <w:p w14:paraId="4A26B7D9" w14:textId="77777777" w:rsidR="00A90345" w:rsidRPr="00EE79AB" w:rsidRDefault="00A90345" w:rsidP="00A90345">
      <w:pPr>
        <w:pStyle w:val="SectionTitle"/>
      </w:pPr>
      <w:bookmarkStart w:id="0" w:name="PART_1_-__GENERAL"/>
      <w:bookmarkStart w:id="1" w:name="1.1_RELATED_DOCUMENTS"/>
      <w:bookmarkEnd w:id="0"/>
      <w:bookmarkEnd w:id="1"/>
      <w:r>
        <w:t>SUrge Protection Devices</w:t>
      </w:r>
    </w:p>
    <w:p w14:paraId="4A67DE2B" w14:textId="77777777" w:rsidR="00A90345" w:rsidRPr="00A44D98" w:rsidRDefault="00A90345" w:rsidP="00A90345">
      <w:pPr>
        <w:pStyle w:val="PartDesignation"/>
        <w:ind w:left="0"/>
      </w:pPr>
      <w:r w:rsidRPr="00A44D98">
        <w:t>- GENERAL</w:t>
      </w:r>
    </w:p>
    <w:p w14:paraId="0DC2E566" w14:textId="77777777" w:rsidR="00A90345" w:rsidRPr="00A44D98" w:rsidRDefault="00A90345" w:rsidP="00080327">
      <w:pPr>
        <w:pStyle w:val="ArticleHeading"/>
      </w:pPr>
      <w:r>
        <w:t>D</w:t>
      </w:r>
      <w:r w:rsidRPr="00A44D98">
        <w:t>ESCRIPTION</w:t>
      </w:r>
    </w:p>
    <w:p w14:paraId="08E7425D" w14:textId="77777777" w:rsidR="00A90345" w:rsidRPr="00A44D98" w:rsidRDefault="00A90345" w:rsidP="00A90345">
      <w:pPr>
        <w:pStyle w:val="Paragraph"/>
      </w:pPr>
      <w:bookmarkStart w:id="2" w:name="A._Drawings_and_general_provisions_of_th"/>
      <w:bookmarkEnd w:id="2"/>
      <w:r w:rsidRPr="00A44D98">
        <w:t>Scope:</w:t>
      </w:r>
    </w:p>
    <w:p w14:paraId="2AE9A821" w14:textId="77777777" w:rsidR="00A90345" w:rsidRPr="006F38C6" w:rsidRDefault="00A90345" w:rsidP="00A90345">
      <w:pPr>
        <w:pStyle w:val="Paragraph1"/>
        <w:tabs>
          <w:tab w:val="num" w:pos="1440"/>
        </w:tabs>
      </w:pPr>
      <w:r w:rsidRPr="006F38C6">
        <w:t>The Surge Protection Device (SPD) covered under this section includes all service entrance type SPD suitable for use as Type 1 or Type 2 devices that are applied to the line or load side of the utility feed.</w:t>
      </w:r>
    </w:p>
    <w:p w14:paraId="60E3B242" w14:textId="77777777" w:rsidR="00A90345" w:rsidRPr="006F38C6" w:rsidRDefault="00A90345" w:rsidP="00A90345">
      <w:pPr>
        <w:pStyle w:val="Paragraph1"/>
        <w:tabs>
          <w:tab w:val="num" w:pos="1440"/>
        </w:tabs>
      </w:pPr>
      <w:r w:rsidRPr="006F38C6">
        <w:t xml:space="preserve">Contractor shall provide all labor, materials, equipment, and incidentals as shown, specified, and required to furnish and install surge protection devices with size and trip rating as shown or specified. </w:t>
      </w:r>
    </w:p>
    <w:p w14:paraId="1A3A77A1" w14:textId="77777777" w:rsidR="00A90345" w:rsidRPr="00A44D98" w:rsidRDefault="00A90345" w:rsidP="00A90345">
      <w:pPr>
        <w:pStyle w:val="Paragraph"/>
      </w:pPr>
      <w:r w:rsidRPr="00A44D98">
        <w:t>Coordination:</w:t>
      </w:r>
    </w:p>
    <w:p w14:paraId="500C134F" w14:textId="77777777" w:rsidR="00A90345" w:rsidRPr="006F38C6" w:rsidRDefault="00A90345" w:rsidP="00A90345">
      <w:pPr>
        <w:pStyle w:val="Paragraph1"/>
        <w:tabs>
          <w:tab w:val="num" w:pos="1440"/>
        </w:tabs>
      </w:pPr>
      <w:r w:rsidRPr="006F38C6">
        <w:t>Review installation procedures under other Sections and coordinate installation of items to be installed with or before surge protection devices.</w:t>
      </w:r>
    </w:p>
    <w:p w14:paraId="7A4DA3E6" w14:textId="77777777" w:rsidR="00A90345" w:rsidRPr="00A44D98" w:rsidRDefault="00A90345" w:rsidP="00A90345">
      <w:pPr>
        <w:pStyle w:val="Paragraph"/>
      </w:pPr>
      <w:r w:rsidRPr="00A44D98">
        <w:t>Related Sections:</w:t>
      </w:r>
    </w:p>
    <w:p w14:paraId="0F95A578"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NTS: List below only sections covering products, construction, and equipment specifically identified in this section and specified in another section and directly referenced in this specification.  Do not list administrative and procedural division 01 sections.</w:t>
      </w:r>
    </w:p>
    <w:p w14:paraId="7AF9AA42" w14:textId="77777777" w:rsidR="00A90345" w:rsidRPr="006F38C6" w:rsidRDefault="00A90345" w:rsidP="00A90345">
      <w:pPr>
        <w:pStyle w:val="Paragraph1"/>
        <w:tabs>
          <w:tab w:val="num" w:pos="1440"/>
        </w:tabs>
      </w:pPr>
      <w:r w:rsidRPr="006F38C6">
        <w:t>Section 26 05 05, General Provisions for Electrical Systems.</w:t>
      </w:r>
    </w:p>
    <w:p w14:paraId="5705929F" w14:textId="77777777" w:rsidR="00A90345" w:rsidRPr="006F38C6" w:rsidRDefault="00A90345" w:rsidP="00A90345">
      <w:pPr>
        <w:pStyle w:val="Paragraph1"/>
        <w:tabs>
          <w:tab w:val="num" w:pos="1440"/>
        </w:tabs>
      </w:pPr>
      <w:r w:rsidRPr="006F38C6">
        <w:t>Section 26 05 53, Identification for Electrical Systems.</w:t>
      </w:r>
    </w:p>
    <w:p w14:paraId="0BD6C624" w14:textId="77777777" w:rsidR="00A90345" w:rsidRPr="006F38C6" w:rsidRDefault="00A90345" w:rsidP="00A90345">
      <w:pPr>
        <w:pStyle w:val="Paragraph1"/>
        <w:tabs>
          <w:tab w:val="num" w:pos="1440"/>
        </w:tabs>
      </w:pPr>
      <w:r w:rsidRPr="006F38C6">
        <w:t>Section 26 13 00, Medium-Voltage Switchgear.</w:t>
      </w:r>
    </w:p>
    <w:p w14:paraId="497C0787" w14:textId="77777777" w:rsidR="00A90345" w:rsidRPr="006F38C6" w:rsidRDefault="00A90345" w:rsidP="00A90345">
      <w:pPr>
        <w:pStyle w:val="Paragraph1"/>
        <w:tabs>
          <w:tab w:val="num" w:pos="1440"/>
        </w:tabs>
      </w:pPr>
      <w:r w:rsidRPr="006F38C6">
        <w:t>Section 26 23 00, Low-Voltage Switchgear.</w:t>
      </w:r>
    </w:p>
    <w:p w14:paraId="3639A594" w14:textId="77777777" w:rsidR="00A90345" w:rsidRPr="006F38C6" w:rsidRDefault="00A90345" w:rsidP="00A90345">
      <w:pPr>
        <w:pStyle w:val="Paragraph1"/>
        <w:tabs>
          <w:tab w:val="num" w:pos="1440"/>
        </w:tabs>
      </w:pPr>
      <w:r w:rsidRPr="006F38C6">
        <w:t>Section 26 24 13, Switchboards.</w:t>
      </w:r>
    </w:p>
    <w:p w14:paraId="5C91E8F1" w14:textId="77777777" w:rsidR="00A90345" w:rsidRDefault="00A90345" w:rsidP="00A90345">
      <w:pPr>
        <w:pStyle w:val="Paragraph1"/>
        <w:tabs>
          <w:tab w:val="num" w:pos="1440"/>
        </w:tabs>
      </w:pPr>
      <w:r w:rsidRPr="006F38C6">
        <w:t>Section 26 24 16, Panelboards.</w:t>
      </w:r>
    </w:p>
    <w:p w14:paraId="64A25F02" w14:textId="77777777" w:rsidR="00A90345" w:rsidRPr="006F38C6" w:rsidRDefault="00A90345" w:rsidP="00A90345">
      <w:pPr>
        <w:pStyle w:val="Paragraph1"/>
        <w:tabs>
          <w:tab w:val="num" w:pos="1440"/>
        </w:tabs>
      </w:pPr>
      <w:r>
        <w:t>Section 26 24 19, Motor Control Centers.</w:t>
      </w:r>
    </w:p>
    <w:p w14:paraId="4423BA6D" w14:textId="77777777" w:rsidR="00A90345" w:rsidRPr="00A44D98" w:rsidRDefault="00A90345" w:rsidP="00080327">
      <w:pPr>
        <w:pStyle w:val="ArticleHeading"/>
      </w:pPr>
      <w:bookmarkStart w:id="3" w:name="1.2_SUMMARY"/>
      <w:bookmarkStart w:id="4" w:name="A._Section_Includes:"/>
      <w:bookmarkEnd w:id="3"/>
      <w:bookmarkEnd w:id="4"/>
      <w:r w:rsidRPr="00A44D98">
        <w:t>REFERENCES</w:t>
      </w:r>
    </w:p>
    <w:p w14:paraId="2E88A6C7"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bookmarkStart w:id="5" w:name="PART_2_-__PRODUCTS"/>
      <w:bookmarkEnd w:id="5"/>
      <w:r w:rsidRPr="00A44D98">
        <w:t>NTS: Retain applicable standards and add others as required.</w:t>
      </w:r>
    </w:p>
    <w:p w14:paraId="4B72E53A" w14:textId="77777777" w:rsidR="00A90345" w:rsidRPr="00A44D98" w:rsidRDefault="00A90345" w:rsidP="00A90345">
      <w:pPr>
        <w:pStyle w:val="Paragraph"/>
        <w:rPr>
          <w:szCs w:val="22"/>
        </w:rPr>
      </w:pPr>
      <w:r w:rsidRPr="00A44D98">
        <w:rPr>
          <w:szCs w:val="22"/>
        </w:rPr>
        <w:t>Standards referenced in this Section are:</w:t>
      </w:r>
    </w:p>
    <w:p w14:paraId="11D0C01C" w14:textId="77777777" w:rsidR="00A90345" w:rsidRDefault="00A90345" w:rsidP="00A90345">
      <w:pPr>
        <w:pStyle w:val="Paragraph1"/>
        <w:tabs>
          <w:tab w:val="num" w:pos="1440"/>
        </w:tabs>
        <w:rPr>
          <w:szCs w:val="22"/>
        </w:rPr>
      </w:pPr>
      <w:r w:rsidRPr="00A44D98">
        <w:rPr>
          <w:szCs w:val="22"/>
        </w:rPr>
        <w:t xml:space="preserve">UL </w:t>
      </w:r>
      <w:r>
        <w:rPr>
          <w:szCs w:val="22"/>
        </w:rPr>
        <w:t>1449, 4th Edition – Standard for Surge Protection Devices.</w:t>
      </w:r>
    </w:p>
    <w:p w14:paraId="1066A414" w14:textId="77777777" w:rsidR="00A90345" w:rsidRDefault="00A90345" w:rsidP="00A90345">
      <w:pPr>
        <w:pStyle w:val="Paragraph1"/>
        <w:tabs>
          <w:tab w:val="num" w:pos="1440"/>
        </w:tabs>
        <w:rPr>
          <w:szCs w:val="22"/>
        </w:rPr>
      </w:pPr>
      <w:r>
        <w:rPr>
          <w:szCs w:val="22"/>
        </w:rPr>
        <w:t>UL 1283, 7th Edition – Standard for Electromagnetic Interference Filters.</w:t>
      </w:r>
    </w:p>
    <w:p w14:paraId="4CB145B1" w14:textId="77777777" w:rsidR="00A90345" w:rsidRDefault="00A90345" w:rsidP="00A90345">
      <w:pPr>
        <w:pStyle w:val="Paragraph1"/>
        <w:tabs>
          <w:tab w:val="num" w:pos="1440"/>
        </w:tabs>
        <w:rPr>
          <w:szCs w:val="22"/>
        </w:rPr>
      </w:pPr>
      <w:r>
        <w:rPr>
          <w:szCs w:val="22"/>
        </w:rPr>
        <w:t>UL 96A, 13th Edition – Standard for Installation Requirements for Lightning Protection Systems.</w:t>
      </w:r>
    </w:p>
    <w:p w14:paraId="47CB7A81" w14:textId="77777777" w:rsidR="00A90345" w:rsidRDefault="00A90345" w:rsidP="00A90345">
      <w:pPr>
        <w:pStyle w:val="Paragraph1"/>
        <w:tabs>
          <w:tab w:val="num" w:pos="1440"/>
        </w:tabs>
        <w:rPr>
          <w:szCs w:val="22"/>
        </w:rPr>
      </w:pPr>
      <w:r>
        <w:rPr>
          <w:szCs w:val="22"/>
        </w:rPr>
        <w:t>ANSI/IEEE C62.41 – Recommended Practice for Surge Voltages in Low-Voltage AC Power Circuits.</w:t>
      </w:r>
    </w:p>
    <w:p w14:paraId="64279395" w14:textId="77777777" w:rsidR="00A90345" w:rsidRDefault="00A90345" w:rsidP="00A90345">
      <w:pPr>
        <w:pStyle w:val="Paragraph1"/>
        <w:tabs>
          <w:tab w:val="num" w:pos="1440"/>
        </w:tabs>
        <w:rPr>
          <w:szCs w:val="22"/>
        </w:rPr>
      </w:pPr>
      <w:r>
        <w:rPr>
          <w:szCs w:val="22"/>
        </w:rPr>
        <w:lastRenderedPageBreak/>
        <w:t>ANSI/IEEE C62.45 – Guide for Surge Testing for equipment connected to Low-Voltage AC Power Circuits.</w:t>
      </w:r>
    </w:p>
    <w:p w14:paraId="5D55AA79" w14:textId="77777777" w:rsidR="00A90345" w:rsidRDefault="00A90345" w:rsidP="00A90345">
      <w:pPr>
        <w:pStyle w:val="Paragraph1"/>
        <w:tabs>
          <w:tab w:val="num" w:pos="1440"/>
        </w:tabs>
        <w:rPr>
          <w:szCs w:val="22"/>
        </w:rPr>
      </w:pPr>
      <w:r>
        <w:rPr>
          <w:szCs w:val="22"/>
        </w:rPr>
        <w:t>IEEE C62.62 – Standard Test Specification for Surge Protection Devices for Low-Voltage AC Power Circuits.</w:t>
      </w:r>
    </w:p>
    <w:p w14:paraId="3A79BAA6" w14:textId="77777777" w:rsidR="00A90345" w:rsidRPr="00A44D98" w:rsidRDefault="00A90345" w:rsidP="00A90345">
      <w:pPr>
        <w:pStyle w:val="Paragraph1"/>
        <w:tabs>
          <w:tab w:val="num" w:pos="1440"/>
        </w:tabs>
        <w:rPr>
          <w:szCs w:val="22"/>
        </w:rPr>
      </w:pPr>
      <w:r>
        <w:rPr>
          <w:szCs w:val="22"/>
        </w:rPr>
        <w:t>IEEE 1100 Emerald Book</w:t>
      </w:r>
    </w:p>
    <w:p w14:paraId="6AFA5236" w14:textId="77777777" w:rsidR="00A90345" w:rsidRDefault="00A90345" w:rsidP="00A90345">
      <w:pPr>
        <w:pStyle w:val="Paragraph1"/>
        <w:tabs>
          <w:tab w:val="num" w:pos="1440"/>
        </w:tabs>
        <w:rPr>
          <w:szCs w:val="22"/>
        </w:rPr>
      </w:pPr>
      <w:r w:rsidRPr="00A44D98">
        <w:rPr>
          <w:szCs w:val="22"/>
        </w:rPr>
        <w:t>NFPA 70</w:t>
      </w:r>
      <w:r>
        <w:rPr>
          <w:szCs w:val="22"/>
        </w:rPr>
        <w:t xml:space="preserve"> </w:t>
      </w:r>
      <w:proofErr w:type="gramStart"/>
      <w:r>
        <w:rPr>
          <w:szCs w:val="22"/>
        </w:rPr>
        <w:t>Article</w:t>
      </w:r>
      <w:proofErr w:type="gramEnd"/>
      <w:r>
        <w:rPr>
          <w:szCs w:val="22"/>
        </w:rPr>
        <w:t xml:space="preserve"> 285</w:t>
      </w:r>
      <w:r w:rsidRPr="00A44D98">
        <w:rPr>
          <w:szCs w:val="22"/>
        </w:rPr>
        <w:t>, National Electrical Code.</w:t>
      </w:r>
    </w:p>
    <w:p w14:paraId="2030CEA4" w14:textId="77777777" w:rsidR="00A90345" w:rsidRPr="00A44D98" w:rsidRDefault="00A90345" w:rsidP="00A90345">
      <w:pPr>
        <w:pStyle w:val="Paragraph1"/>
        <w:tabs>
          <w:tab w:val="num" w:pos="1440"/>
        </w:tabs>
        <w:rPr>
          <w:szCs w:val="22"/>
        </w:rPr>
      </w:pPr>
      <w:r>
        <w:rPr>
          <w:szCs w:val="22"/>
        </w:rPr>
        <w:t>NFPA 70E,  Electrical Safety in the Workplace</w:t>
      </w:r>
    </w:p>
    <w:p w14:paraId="7E01119E" w14:textId="07E9BCFB" w:rsidR="00080327" w:rsidRDefault="00080327" w:rsidP="00080327">
      <w:pPr>
        <w:pStyle w:val="ArticleHeading"/>
      </w:pPr>
      <w:r w:rsidRPr="00080327">
        <w:t>Definitions</w:t>
      </w:r>
    </w:p>
    <w:p w14:paraId="1BB66B4B" w14:textId="77777777" w:rsidR="00080327" w:rsidRDefault="00080327" w:rsidP="00080327">
      <w:pPr>
        <w:pStyle w:val="Paragraph"/>
        <w:rPr>
          <w:szCs w:val="22"/>
        </w:rPr>
      </w:pPr>
      <w:r>
        <w:rPr>
          <w:szCs w:val="22"/>
        </w:rPr>
        <w:t>Definitions referenced in this section are:</w:t>
      </w:r>
    </w:p>
    <w:p w14:paraId="403EE527" w14:textId="77777777" w:rsidR="00080327" w:rsidRDefault="00080327" w:rsidP="00080327">
      <w:pPr>
        <w:pStyle w:val="Paragraph1"/>
        <w:tabs>
          <w:tab w:val="num" w:pos="1440"/>
        </w:tabs>
      </w:pPr>
      <w:proofErr w:type="spellStart"/>
      <w:r>
        <w:t>Inominal</w:t>
      </w:r>
      <w:proofErr w:type="spellEnd"/>
      <w:r>
        <w:t>: Nominal discharge current.</w:t>
      </w:r>
    </w:p>
    <w:p w14:paraId="47E9D8E4" w14:textId="77777777" w:rsidR="00080327" w:rsidRDefault="00080327" w:rsidP="00080327">
      <w:pPr>
        <w:pStyle w:val="Paragraph1"/>
        <w:tabs>
          <w:tab w:val="num" w:pos="1440"/>
        </w:tabs>
      </w:pPr>
      <w:r>
        <w:t>MCOV: Maximum continuous operating voltage.</w:t>
      </w:r>
    </w:p>
    <w:p w14:paraId="713286DB" w14:textId="77777777" w:rsidR="00080327" w:rsidRDefault="00080327" w:rsidP="00080327">
      <w:pPr>
        <w:pStyle w:val="Paragraph1"/>
        <w:tabs>
          <w:tab w:val="num" w:pos="1440"/>
        </w:tabs>
      </w:pPr>
      <w:r>
        <w:t>Mode(s), also Modes of Protection: The pair of electrical connections where the VPR applies.</w:t>
      </w:r>
    </w:p>
    <w:p w14:paraId="3A6C6C35" w14:textId="77777777" w:rsidR="00080327" w:rsidRDefault="00080327" w:rsidP="00080327">
      <w:pPr>
        <w:pStyle w:val="Paragraph1"/>
        <w:tabs>
          <w:tab w:val="num" w:pos="1440"/>
        </w:tabs>
      </w:pPr>
      <w:proofErr w:type="spellStart"/>
      <w:r>
        <w:t>MOV</w:t>
      </w:r>
      <w:proofErr w:type="spellEnd"/>
      <w:r>
        <w:t xml:space="preserve">: Metal-oxide </w:t>
      </w:r>
      <w:proofErr w:type="spellStart"/>
      <w:r>
        <w:t>varistor</w:t>
      </w:r>
      <w:proofErr w:type="spellEnd"/>
      <w:r>
        <w:t>; an electronic component with a significant non-</w:t>
      </w:r>
      <w:proofErr w:type="spellStart"/>
      <w:r>
        <w:t>ohmic</w:t>
      </w:r>
      <w:proofErr w:type="spellEnd"/>
      <w:r>
        <w:t xml:space="preserve"> current-voltage characteristic.</w:t>
      </w:r>
    </w:p>
    <w:p w14:paraId="6C7FEF43" w14:textId="77777777" w:rsidR="00080327" w:rsidRDefault="00080327" w:rsidP="00080327">
      <w:pPr>
        <w:pStyle w:val="Paragraph1"/>
        <w:tabs>
          <w:tab w:val="num" w:pos="1440"/>
        </w:tabs>
      </w:pPr>
      <w:r>
        <w:t>OCPD: Overcurrent protective device.</w:t>
      </w:r>
    </w:p>
    <w:p w14:paraId="030ADE85" w14:textId="77777777" w:rsidR="00080327" w:rsidRDefault="00080327" w:rsidP="00080327">
      <w:pPr>
        <w:pStyle w:val="Paragraph1"/>
        <w:tabs>
          <w:tab w:val="num" w:pos="1440"/>
        </w:tabs>
      </w:pPr>
      <w:r>
        <w:t>SCCR: Short-circuit current rating.</w:t>
      </w:r>
    </w:p>
    <w:p w14:paraId="53074D7C" w14:textId="77777777" w:rsidR="00080327" w:rsidRDefault="00080327" w:rsidP="00080327">
      <w:pPr>
        <w:pStyle w:val="Paragraph1"/>
        <w:tabs>
          <w:tab w:val="num" w:pos="1440"/>
        </w:tabs>
      </w:pPr>
      <w:r>
        <w:t>SPD: Surge protective device.</w:t>
      </w:r>
    </w:p>
    <w:p w14:paraId="5A347E97" w14:textId="77777777" w:rsidR="00080327" w:rsidRDefault="00080327" w:rsidP="00080327">
      <w:pPr>
        <w:pStyle w:val="Paragraph1"/>
        <w:tabs>
          <w:tab w:val="num" w:pos="1440"/>
        </w:tabs>
      </w:pPr>
      <w:r>
        <w:t>VPR: Voltage protection rating.</w:t>
      </w:r>
    </w:p>
    <w:p w14:paraId="0DC09EA1" w14:textId="53E2F217" w:rsidR="002E0CA4" w:rsidRPr="003C5B93" w:rsidRDefault="002E0CA4" w:rsidP="002E0CA4">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bookmarkStart w:id="6" w:name="_GoBack"/>
      <w:bookmarkEnd w:id="6"/>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0B742826" w14:textId="0A0DE34C" w:rsidR="00A90345" w:rsidRPr="00A44D98" w:rsidRDefault="00A90345" w:rsidP="00080327">
      <w:pPr>
        <w:pStyle w:val="ArticleHeading"/>
      </w:pPr>
      <w:r w:rsidRPr="00A44D98">
        <w:t>SUBMITTALS</w:t>
      </w:r>
    </w:p>
    <w:p w14:paraId="0234E09F" w14:textId="77777777" w:rsidR="00A90345" w:rsidRPr="00CC3AC6" w:rsidRDefault="00A90345" w:rsidP="00A90345">
      <w:pPr>
        <w:pStyle w:val="Paragraph"/>
      </w:pPr>
      <w:r w:rsidRPr="00CC3AC6">
        <w:t>Action Submittals: Submit the following:</w:t>
      </w:r>
    </w:p>
    <w:p w14:paraId="4199EAAF" w14:textId="77777777" w:rsidR="00A90345" w:rsidRDefault="00A90345" w:rsidP="00A90345">
      <w:pPr>
        <w:pStyle w:val="Paragraph1"/>
        <w:tabs>
          <w:tab w:val="num" w:pos="1440"/>
        </w:tabs>
      </w:pPr>
      <w:r w:rsidRPr="00CC3AC6">
        <w:t>Product Data</w:t>
      </w:r>
      <w:r>
        <w:t xml:space="preserve">: For each type of Product </w:t>
      </w:r>
    </w:p>
    <w:p w14:paraId="48CD1AE3" w14:textId="77777777" w:rsidR="00A90345" w:rsidRDefault="00A90345" w:rsidP="00A90345">
      <w:pPr>
        <w:pStyle w:val="Subparagrapha"/>
        <w:tabs>
          <w:tab w:val="clear" w:pos="432"/>
          <w:tab w:val="num" w:pos="1872"/>
        </w:tabs>
        <w:ind w:left="1872"/>
      </w:pPr>
      <w:r>
        <w:t>Include rated capacities, operating characteristics, electrical characteristics, and furnished specialties and accessories.</w:t>
      </w:r>
    </w:p>
    <w:p w14:paraId="7F8D42BD" w14:textId="77777777" w:rsidR="00A90345" w:rsidRDefault="00A90345" w:rsidP="00A90345">
      <w:pPr>
        <w:pStyle w:val="Subparagrapha"/>
        <w:tabs>
          <w:tab w:val="clear" w:pos="432"/>
          <w:tab w:val="num" w:pos="1872"/>
        </w:tabs>
        <w:ind w:left="1872"/>
      </w:pPr>
      <w:r>
        <w:t>Include maximum conductor length for all external SPDs.</w:t>
      </w:r>
    </w:p>
    <w:p w14:paraId="6946496A" w14:textId="77777777" w:rsidR="00A90345" w:rsidRDefault="00A90345" w:rsidP="00A90345">
      <w:pPr>
        <w:pStyle w:val="Subparagrapha"/>
        <w:tabs>
          <w:tab w:val="clear" w:pos="432"/>
          <w:tab w:val="num" w:pos="1872"/>
        </w:tabs>
        <w:ind w:left="1872"/>
      </w:pPr>
      <w:r>
        <w:t>Include manufacturer’s suggested OCPD size and rating.</w:t>
      </w:r>
    </w:p>
    <w:p w14:paraId="487B51FB" w14:textId="77777777" w:rsidR="00A90345" w:rsidRDefault="00A90345" w:rsidP="00A90345">
      <w:pPr>
        <w:pStyle w:val="Paragraph1"/>
        <w:tabs>
          <w:tab w:val="num" w:pos="1440"/>
        </w:tabs>
      </w:pPr>
      <w:r>
        <w:t>Shop Drawings (NOT USED)</w:t>
      </w:r>
    </w:p>
    <w:p w14:paraId="3E04E84B" w14:textId="77777777" w:rsidR="00A90345" w:rsidRPr="005513D4" w:rsidRDefault="00A90345" w:rsidP="00A90345">
      <w:pPr>
        <w:pStyle w:val="Paragraph1"/>
        <w:tabs>
          <w:tab w:val="num" w:pos="1440"/>
        </w:tabs>
      </w:pPr>
      <w:r>
        <w:t>Samples (NOT USED)</w:t>
      </w:r>
    </w:p>
    <w:p w14:paraId="5D50647A" w14:textId="77777777" w:rsidR="00A90345" w:rsidRPr="00CC3AC6" w:rsidRDefault="00A90345" w:rsidP="00A90345">
      <w:pPr>
        <w:pStyle w:val="Paragraph"/>
      </w:pPr>
      <w:r w:rsidRPr="00CC3AC6">
        <w:t xml:space="preserve">Informational Submittals: Submit the following: </w:t>
      </w:r>
    </w:p>
    <w:p w14:paraId="702B975A" w14:textId="77777777" w:rsidR="00A90345" w:rsidRDefault="00A90345" w:rsidP="00A90345">
      <w:pPr>
        <w:pStyle w:val="Paragraph1"/>
        <w:tabs>
          <w:tab w:val="num" w:pos="1440"/>
        </w:tabs>
      </w:pPr>
      <w:r w:rsidRPr="00CC3AC6">
        <w:t>Certificates</w:t>
      </w:r>
      <w:r>
        <w:t xml:space="preserve"> (NOT USED) </w:t>
      </w:r>
    </w:p>
    <w:p w14:paraId="535A3B46" w14:textId="77777777" w:rsidR="00A90345" w:rsidRDefault="00A90345" w:rsidP="00A90345">
      <w:pPr>
        <w:pStyle w:val="Paragraph1"/>
        <w:tabs>
          <w:tab w:val="num" w:pos="1440"/>
        </w:tabs>
      </w:pPr>
      <w:r>
        <w:t>Delegated Design Submittal (NOT USED)</w:t>
      </w:r>
    </w:p>
    <w:p w14:paraId="47A0D5B4" w14:textId="77777777" w:rsidR="00A90345" w:rsidRDefault="00A90345" w:rsidP="00A90345">
      <w:pPr>
        <w:pStyle w:val="Paragraph1"/>
        <w:tabs>
          <w:tab w:val="num" w:pos="1440"/>
        </w:tabs>
      </w:pPr>
      <w:r>
        <w:t>Test and Evaluation Reports</w:t>
      </w:r>
    </w:p>
    <w:p w14:paraId="00333C1A" w14:textId="77777777" w:rsidR="00A90345" w:rsidRDefault="00A90345" w:rsidP="00A90345">
      <w:pPr>
        <w:pStyle w:val="Subparagrapha"/>
        <w:tabs>
          <w:tab w:val="clear" w:pos="432"/>
          <w:tab w:val="num" w:pos="1872"/>
        </w:tabs>
        <w:ind w:left="1872"/>
      </w:pPr>
      <w:r>
        <w:t xml:space="preserve">Copy of UL Category Code VZCA certification, as a minimum, listing the tested values for </w:t>
      </w:r>
      <w:proofErr w:type="spellStart"/>
      <w:r>
        <w:t>VPRs</w:t>
      </w:r>
      <w:proofErr w:type="spellEnd"/>
      <w:r>
        <w:t xml:space="preserve">, </w:t>
      </w:r>
      <w:proofErr w:type="spellStart"/>
      <w:r>
        <w:t>Inominal</w:t>
      </w:r>
      <w:proofErr w:type="spellEnd"/>
      <w:r>
        <w:t xml:space="preserve"> ratings, </w:t>
      </w:r>
      <w:proofErr w:type="spellStart"/>
      <w:r>
        <w:t>MCOVs</w:t>
      </w:r>
      <w:proofErr w:type="spellEnd"/>
      <w:r>
        <w:t>, type designations, OCPD requirements, model numbers, system voltages, and modes of protection.</w:t>
      </w:r>
    </w:p>
    <w:p w14:paraId="48955F87" w14:textId="77777777" w:rsidR="00A90345" w:rsidRDefault="00A90345" w:rsidP="00A90345">
      <w:pPr>
        <w:pStyle w:val="Paragraph1"/>
        <w:tabs>
          <w:tab w:val="num" w:pos="1440"/>
        </w:tabs>
      </w:pPr>
      <w:r>
        <w:t>Manufacturers’ Instructions</w:t>
      </w:r>
    </w:p>
    <w:p w14:paraId="257E8CB9" w14:textId="77777777" w:rsidR="00A90345" w:rsidRDefault="00A90345" w:rsidP="00A90345">
      <w:pPr>
        <w:pStyle w:val="Subparagrapha"/>
        <w:tabs>
          <w:tab w:val="clear" w:pos="432"/>
          <w:tab w:val="num" w:pos="1872"/>
        </w:tabs>
        <w:ind w:left="1872"/>
      </w:pPr>
      <w:r>
        <w:t>Submit instructions for each type.</w:t>
      </w:r>
    </w:p>
    <w:p w14:paraId="02E94C6F" w14:textId="77777777" w:rsidR="00A90345" w:rsidRDefault="00A90345" w:rsidP="00A90345">
      <w:pPr>
        <w:pStyle w:val="Paragraph1"/>
        <w:tabs>
          <w:tab w:val="num" w:pos="1440"/>
        </w:tabs>
      </w:pPr>
      <w:r w:rsidRPr="00CC3AC6">
        <w:t>Source Quality Control Submittals</w:t>
      </w:r>
      <w:r>
        <w:t xml:space="preserve"> (NOT USED)</w:t>
      </w:r>
    </w:p>
    <w:p w14:paraId="4B25ECC8" w14:textId="77777777" w:rsidR="00A90345" w:rsidRDefault="00A90345" w:rsidP="00A90345">
      <w:pPr>
        <w:pStyle w:val="Paragraph1"/>
        <w:tabs>
          <w:tab w:val="num" w:pos="1440"/>
        </w:tabs>
      </w:pPr>
      <w:r>
        <w:t>Field Quality Control Submittals</w:t>
      </w:r>
    </w:p>
    <w:p w14:paraId="08F97FD1" w14:textId="77777777" w:rsidR="00A90345" w:rsidRDefault="00A90345" w:rsidP="00A90345">
      <w:pPr>
        <w:pStyle w:val="Subparagrapha"/>
        <w:tabs>
          <w:tab w:val="clear" w:pos="432"/>
          <w:tab w:val="num" w:pos="1872"/>
        </w:tabs>
        <w:ind w:left="1872"/>
      </w:pPr>
      <w:r>
        <w:t>Results of Field Quality Control Reports.</w:t>
      </w:r>
    </w:p>
    <w:p w14:paraId="66A92028" w14:textId="77777777" w:rsidR="00A90345" w:rsidRDefault="00A90345" w:rsidP="00A90345">
      <w:pPr>
        <w:pStyle w:val="Paragraph1"/>
        <w:tabs>
          <w:tab w:val="num" w:pos="1440"/>
        </w:tabs>
      </w:pPr>
      <w:r>
        <w:t>Manufacturer Reports (NOT USED)</w:t>
      </w:r>
    </w:p>
    <w:p w14:paraId="01439752" w14:textId="77777777" w:rsidR="00A90345" w:rsidRDefault="00A90345" w:rsidP="00A90345">
      <w:pPr>
        <w:pStyle w:val="Paragraph1"/>
        <w:tabs>
          <w:tab w:val="num" w:pos="1440"/>
        </w:tabs>
      </w:pPr>
      <w:r>
        <w:lastRenderedPageBreak/>
        <w:t>Sustainable Design Submittals (NOT USED)</w:t>
      </w:r>
    </w:p>
    <w:p w14:paraId="1910D0C6" w14:textId="77777777" w:rsidR="00A90345" w:rsidRPr="00CC3AC6" w:rsidRDefault="00A90345" w:rsidP="00A90345">
      <w:pPr>
        <w:pStyle w:val="Paragraph1"/>
        <w:tabs>
          <w:tab w:val="num" w:pos="1440"/>
        </w:tabs>
      </w:pPr>
      <w:r>
        <w:t>Special Procedure Submittals (NOT USED)</w:t>
      </w:r>
    </w:p>
    <w:p w14:paraId="3526074F" w14:textId="77777777" w:rsidR="00A90345" w:rsidRDefault="00A90345" w:rsidP="00A90345">
      <w:pPr>
        <w:pStyle w:val="Paragraph1"/>
        <w:tabs>
          <w:tab w:val="num" w:pos="1440"/>
        </w:tabs>
      </w:pPr>
      <w:r w:rsidRPr="00CC3AC6">
        <w:t>Qualifications Statements</w:t>
      </w:r>
      <w:r>
        <w:t xml:space="preserve"> (NOT USED)</w:t>
      </w:r>
    </w:p>
    <w:p w14:paraId="0EF33CB4" w14:textId="77777777" w:rsidR="00A90345" w:rsidRDefault="00A90345" w:rsidP="00A90345">
      <w:pPr>
        <w:pStyle w:val="Paragraph"/>
      </w:pPr>
      <w:r>
        <w:t>Closeout Submittals.</w:t>
      </w:r>
    </w:p>
    <w:p w14:paraId="246C7CCD" w14:textId="77777777" w:rsidR="00A90345" w:rsidRDefault="00A90345" w:rsidP="00A90345">
      <w:pPr>
        <w:pStyle w:val="Paragraph1"/>
      </w:pPr>
      <w:r>
        <w:t>Maintenance Contracts (NOT USED)</w:t>
      </w:r>
    </w:p>
    <w:p w14:paraId="70FC9787" w14:textId="77777777" w:rsidR="00A90345" w:rsidRDefault="00A90345" w:rsidP="00A90345">
      <w:pPr>
        <w:pStyle w:val="Paragraph1"/>
      </w:pPr>
      <w:r>
        <w:t xml:space="preserve">Operation and Maintenance Data </w:t>
      </w:r>
    </w:p>
    <w:p w14:paraId="254E1071" w14:textId="77777777" w:rsidR="00A90345" w:rsidRDefault="00A90345" w:rsidP="00A90345">
      <w:pPr>
        <w:pStyle w:val="Subparagrapha"/>
        <w:tabs>
          <w:tab w:val="clear" w:pos="432"/>
          <w:tab w:val="num" w:pos="1872"/>
        </w:tabs>
        <w:ind w:left="1872"/>
      </w:pPr>
      <w:r>
        <w:t>Submit complete installation, operation and maintenance manuals including test reports, maintenance data and schedules, and description of operation.</w:t>
      </w:r>
    </w:p>
    <w:p w14:paraId="3ED97A9F" w14:textId="77777777" w:rsidR="00A90345" w:rsidRDefault="00A90345" w:rsidP="00A90345">
      <w:pPr>
        <w:pStyle w:val="Paragraph1"/>
      </w:pPr>
      <w:r>
        <w:t>Bonds (NOT USED)</w:t>
      </w:r>
    </w:p>
    <w:p w14:paraId="3841E8C0" w14:textId="77777777" w:rsidR="00A90345" w:rsidRDefault="00A90345" w:rsidP="00A90345">
      <w:pPr>
        <w:pStyle w:val="Paragraph1"/>
      </w:pPr>
      <w:r>
        <w:t>Warranty Documentation</w:t>
      </w:r>
    </w:p>
    <w:p w14:paraId="538AD010" w14:textId="77777777" w:rsidR="00A90345" w:rsidRDefault="00A90345" w:rsidP="00A90345">
      <w:pPr>
        <w:pStyle w:val="Subparagrapha"/>
        <w:tabs>
          <w:tab w:val="clear" w:pos="432"/>
          <w:tab w:val="num" w:pos="1872"/>
        </w:tabs>
        <w:ind w:left="1872"/>
      </w:pPr>
      <w:r>
        <w:t>Submit manufacturer’s warranty per the requirements of this Section.</w:t>
      </w:r>
    </w:p>
    <w:p w14:paraId="0F5CC624" w14:textId="77777777" w:rsidR="00A90345" w:rsidRDefault="00A90345" w:rsidP="00A90345">
      <w:pPr>
        <w:pStyle w:val="Paragraph1"/>
      </w:pPr>
      <w:r>
        <w:t>Record Documentation (NOT USED)</w:t>
      </w:r>
    </w:p>
    <w:p w14:paraId="7529FBC3" w14:textId="77777777" w:rsidR="00A90345" w:rsidRDefault="00A90345" w:rsidP="00A90345">
      <w:pPr>
        <w:pStyle w:val="Paragraph1"/>
      </w:pPr>
      <w:r>
        <w:t>Sustainable Design Closeout (NOT USED)</w:t>
      </w:r>
    </w:p>
    <w:p w14:paraId="66AC59E1" w14:textId="77777777" w:rsidR="00A90345" w:rsidRDefault="00A90345" w:rsidP="00A90345">
      <w:pPr>
        <w:pStyle w:val="Paragraph1"/>
      </w:pPr>
      <w:r>
        <w:t>Software (NOT USED)</w:t>
      </w:r>
    </w:p>
    <w:p w14:paraId="7D00F81B" w14:textId="77777777" w:rsidR="00A90345" w:rsidRDefault="00A90345" w:rsidP="00A90345">
      <w:pPr>
        <w:pStyle w:val="Paragraph"/>
      </w:pPr>
      <w:r>
        <w:t>Maintenance Material Submittals. (NOT USED)</w:t>
      </w:r>
    </w:p>
    <w:p w14:paraId="293B2F2D" w14:textId="77777777" w:rsidR="00A90345" w:rsidRDefault="00A90345" w:rsidP="00A90345">
      <w:pPr>
        <w:pStyle w:val="Paragraph1"/>
      </w:pPr>
      <w:r>
        <w:t>Spare Parts (NOT USED)</w:t>
      </w:r>
    </w:p>
    <w:p w14:paraId="5E8DA57E" w14:textId="77777777" w:rsidR="00A90345" w:rsidRDefault="00A90345" w:rsidP="00A90345">
      <w:pPr>
        <w:pStyle w:val="Paragraph1"/>
      </w:pPr>
      <w:r>
        <w:t>Extra Stock Materials (NOT USED)</w:t>
      </w:r>
    </w:p>
    <w:p w14:paraId="7B12ABEF" w14:textId="77777777" w:rsidR="00A90345" w:rsidRDefault="00A90345" w:rsidP="00A90345">
      <w:pPr>
        <w:pStyle w:val="Paragraph1"/>
      </w:pPr>
      <w:r>
        <w:t>Tools (NOT USED)</w:t>
      </w:r>
    </w:p>
    <w:p w14:paraId="165AF5E0" w14:textId="77777777" w:rsidR="00A90345" w:rsidRPr="00A44D98" w:rsidRDefault="00A90345" w:rsidP="00080327">
      <w:pPr>
        <w:pStyle w:val="ArticleHeading"/>
      </w:pPr>
      <w:r w:rsidRPr="00A44D98">
        <w:t>QUALITY ASSURANCE</w:t>
      </w:r>
    </w:p>
    <w:p w14:paraId="3A974434" w14:textId="77777777" w:rsidR="00A90345" w:rsidRPr="00A44D98" w:rsidRDefault="00A90345" w:rsidP="00A90345">
      <w:pPr>
        <w:pStyle w:val="Paragraph"/>
      </w:pPr>
      <w:r>
        <w:t xml:space="preserve">SPDs </w:t>
      </w:r>
      <w:r w:rsidRPr="00A44D98">
        <w:t>shall bear the UL label.</w:t>
      </w:r>
    </w:p>
    <w:p w14:paraId="582050B6" w14:textId="77777777" w:rsidR="00A90345" w:rsidRPr="00A44D98" w:rsidRDefault="00A90345" w:rsidP="00A90345">
      <w:pPr>
        <w:pStyle w:val="Paragraph"/>
      </w:pPr>
      <w:r w:rsidRPr="00A44D98">
        <w:rPr>
          <w:w w:val="105"/>
        </w:rPr>
        <w:t>Nat</w:t>
      </w:r>
      <w:r w:rsidRPr="00A44D98">
        <w:rPr>
          <w:spacing w:val="-9"/>
          <w:w w:val="105"/>
        </w:rPr>
        <w:t>i</w:t>
      </w:r>
      <w:r w:rsidRPr="00A44D98">
        <w:rPr>
          <w:w w:val="105"/>
        </w:rPr>
        <w:t>onal</w:t>
      </w:r>
      <w:r w:rsidRPr="00A44D98">
        <w:rPr>
          <w:spacing w:val="-11"/>
          <w:w w:val="105"/>
        </w:rPr>
        <w:t xml:space="preserve"> </w:t>
      </w:r>
      <w:r w:rsidRPr="00A44D98">
        <w:rPr>
          <w:w w:val="105"/>
        </w:rPr>
        <w:t>Electr</w:t>
      </w:r>
      <w:r w:rsidRPr="00A44D98">
        <w:rPr>
          <w:spacing w:val="-7"/>
          <w:w w:val="105"/>
        </w:rPr>
        <w:t>i</w:t>
      </w:r>
      <w:r w:rsidRPr="00A44D98">
        <w:rPr>
          <w:w w:val="105"/>
        </w:rPr>
        <w:t>cal</w:t>
      </w:r>
      <w:r w:rsidRPr="00A44D98">
        <w:rPr>
          <w:spacing w:val="-10"/>
          <w:w w:val="105"/>
        </w:rPr>
        <w:t xml:space="preserve"> </w:t>
      </w:r>
      <w:r w:rsidRPr="00A44D98">
        <w:rPr>
          <w:w w:val="105"/>
        </w:rPr>
        <w:t>Code</w:t>
      </w:r>
      <w:r w:rsidRPr="00A44D98">
        <w:rPr>
          <w:spacing w:val="-13"/>
          <w:w w:val="105"/>
        </w:rPr>
        <w:t xml:space="preserve"> </w:t>
      </w:r>
      <w:r w:rsidRPr="00A44D98">
        <w:rPr>
          <w:w w:val="105"/>
        </w:rPr>
        <w:t>(NEC):</w:t>
      </w:r>
      <w:r w:rsidRPr="00A44D98">
        <w:rPr>
          <w:spacing w:val="27"/>
          <w:w w:val="105"/>
        </w:rPr>
        <w:t xml:space="preserve"> </w:t>
      </w:r>
      <w:r w:rsidRPr="00A44D98">
        <w:rPr>
          <w:w w:val="105"/>
        </w:rPr>
        <w:t>Co</w:t>
      </w:r>
      <w:r w:rsidRPr="00A44D98">
        <w:rPr>
          <w:spacing w:val="9"/>
          <w:w w:val="105"/>
        </w:rPr>
        <w:t>m</w:t>
      </w:r>
      <w:r w:rsidRPr="00A44D98">
        <w:rPr>
          <w:w w:val="105"/>
        </w:rPr>
        <w:t>ponents</w:t>
      </w:r>
      <w:r w:rsidRPr="00A44D98">
        <w:rPr>
          <w:spacing w:val="-19"/>
          <w:w w:val="105"/>
        </w:rPr>
        <w:t xml:space="preserve"> </w:t>
      </w:r>
      <w:r w:rsidRPr="00A44D98">
        <w:rPr>
          <w:w w:val="105"/>
        </w:rPr>
        <w:t>and</w:t>
      </w:r>
      <w:r w:rsidRPr="00A44D98">
        <w:rPr>
          <w:spacing w:val="-14"/>
          <w:w w:val="105"/>
        </w:rPr>
        <w:t xml:space="preserve"> </w:t>
      </w:r>
      <w:r w:rsidRPr="00A44D98">
        <w:rPr>
          <w:spacing w:val="-7"/>
          <w:w w:val="105"/>
        </w:rPr>
        <w:t>i</w:t>
      </w:r>
      <w:r w:rsidRPr="00A44D98">
        <w:rPr>
          <w:w w:val="105"/>
        </w:rPr>
        <w:t>n</w:t>
      </w:r>
      <w:r w:rsidRPr="00A44D98">
        <w:rPr>
          <w:spacing w:val="-4"/>
          <w:w w:val="105"/>
        </w:rPr>
        <w:t>s</w:t>
      </w:r>
      <w:r w:rsidRPr="00A44D98">
        <w:rPr>
          <w:w w:val="105"/>
        </w:rPr>
        <w:t>tal</w:t>
      </w:r>
      <w:r w:rsidRPr="00A44D98">
        <w:rPr>
          <w:spacing w:val="4"/>
          <w:w w:val="105"/>
        </w:rPr>
        <w:t>l</w:t>
      </w:r>
      <w:r w:rsidRPr="00A44D98">
        <w:rPr>
          <w:w w:val="105"/>
        </w:rPr>
        <w:t>at</w:t>
      </w:r>
      <w:r w:rsidRPr="00A44D98">
        <w:rPr>
          <w:spacing w:val="-10"/>
          <w:w w:val="105"/>
        </w:rPr>
        <w:t>i</w:t>
      </w:r>
      <w:r w:rsidRPr="00A44D98">
        <w:rPr>
          <w:w w:val="105"/>
        </w:rPr>
        <w:t>on</w:t>
      </w:r>
      <w:r w:rsidRPr="00A44D98">
        <w:rPr>
          <w:spacing w:val="-13"/>
          <w:w w:val="105"/>
        </w:rPr>
        <w:t xml:space="preserve"> </w:t>
      </w:r>
      <w:r w:rsidRPr="00A44D98">
        <w:rPr>
          <w:spacing w:val="-4"/>
          <w:w w:val="105"/>
        </w:rPr>
        <w:t>s</w:t>
      </w:r>
      <w:r w:rsidRPr="00A44D98">
        <w:rPr>
          <w:w w:val="105"/>
        </w:rPr>
        <w:t>ha</w:t>
      </w:r>
      <w:r w:rsidRPr="00A44D98">
        <w:rPr>
          <w:spacing w:val="4"/>
          <w:w w:val="105"/>
        </w:rPr>
        <w:t>l</w:t>
      </w:r>
      <w:r w:rsidRPr="00A44D98">
        <w:rPr>
          <w:w w:val="105"/>
        </w:rPr>
        <w:t>l</w:t>
      </w:r>
      <w:r w:rsidRPr="00A44D98">
        <w:rPr>
          <w:spacing w:val="-11"/>
          <w:w w:val="105"/>
        </w:rPr>
        <w:t xml:space="preserve"> </w:t>
      </w:r>
      <w:r w:rsidRPr="00A44D98">
        <w:rPr>
          <w:w w:val="105"/>
        </w:rPr>
        <w:t>co</w:t>
      </w:r>
      <w:r w:rsidRPr="00A44D98">
        <w:rPr>
          <w:spacing w:val="10"/>
          <w:w w:val="105"/>
        </w:rPr>
        <w:t>m</w:t>
      </w:r>
      <w:r w:rsidRPr="00A44D98">
        <w:rPr>
          <w:w w:val="105"/>
        </w:rPr>
        <w:t>p</w:t>
      </w:r>
      <w:r w:rsidRPr="00A44D98">
        <w:rPr>
          <w:spacing w:val="4"/>
          <w:w w:val="105"/>
        </w:rPr>
        <w:t>l</w:t>
      </w:r>
      <w:r w:rsidRPr="00A44D98">
        <w:rPr>
          <w:w w:val="105"/>
        </w:rPr>
        <w:t>y</w:t>
      </w:r>
      <w:r w:rsidRPr="00A44D98">
        <w:rPr>
          <w:spacing w:val="-20"/>
          <w:w w:val="105"/>
        </w:rPr>
        <w:t xml:space="preserve"> </w:t>
      </w:r>
      <w:r w:rsidRPr="00A44D98">
        <w:rPr>
          <w:spacing w:val="-4"/>
          <w:w w:val="105"/>
        </w:rPr>
        <w:t>w</w:t>
      </w:r>
      <w:r w:rsidRPr="00A44D98">
        <w:rPr>
          <w:spacing w:val="-7"/>
          <w:w w:val="105"/>
        </w:rPr>
        <w:t>i</w:t>
      </w:r>
      <w:r w:rsidRPr="00A44D98">
        <w:rPr>
          <w:w w:val="105"/>
        </w:rPr>
        <w:t>th</w:t>
      </w:r>
      <w:r w:rsidRPr="00A44D98">
        <w:rPr>
          <w:spacing w:val="-15"/>
          <w:w w:val="105"/>
        </w:rPr>
        <w:t xml:space="preserve"> </w:t>
      </w:r>
      <w:r w:rsidRPr="00A44D98">
        <w:rPr>
          <w:w w:val="105"/>
        </w:rPr>
        <w:t>Nat</w:t>
      </w:r>
      <w:r w:rsidRPr="00A44D98">
        <w:rPr>
          <w:spacing w:val="-9"/>
          <w:w w:val="105"/>
        </w:rPr>
        <w:t>i</w:t>
      </w:r>
      <w:r w:rsidRPr="00A44D98">
        <w:rPr>
          <w:w w:val="105"/>
        </w:rPr>
        <w:t>onal</w:t>
      </w:r>
      <w:r w:rsidRPr="00A44D98">
        <w:rPr>
          <w:spacing w:val="-12"/>
          <w:w w:val="105"/>
        </w:rPr>
        <w:t xml:space="preserve"> </w:t>
      </w:r>
      <w:r w:rsidRPr="00A44D98">
        <w:rPr>
          <w:w w:val="105"/>
        </w:rPr>
        <w:t>F</w:t>
      </w:r>
      <w:r w:rsidRPr="00A44D98">
        <w:rPr>
          <w:spacing w:val="-8"/>
          <w:w w:val="105"/>
        </w:rPr>
        <w:t>i</w:t>
      </w:r>
      <w:r w:rsidRPr="00A44D98">
        <w:rPr>
          <w:w w:val="105"/>
        </w:rPr>
        <w:t>re</w:t>
      </w:r>
      <w:r w:rsidRPr="00A44D98">
        <w:t xml:space="preserve"> </w:t>
      </w:r>
      <w:r w:rsidRPr="00A44D98">
        <w:rPr>
          <w:w w:val="105"/>
        </w:rPr>
        <w:t>Pro</w:t>
      </w:r>
      <w:r w:rsidRPr="00A44D98">
        <w:rPr>
          <w:spacing w:val="-5"/>
          <w:w w:val="105"/>
        </w:rPr>
        <w:t>t</w:t>
      </w:r>
      <w:r w:rsidRPr="00A44D98">
        <w:rPr>
          <w:w w:val="105"/>
        </w:rPr>
        <w:t>ect</w:t>
      </w:r>
      <w:r w:rsidRPr="00A44D98">
        <w:rPr>
          <w:spacing w:val="-8"/>
          <w:w w:val="105"/>
        </w:rPr>
        <w:t>i</w:t>
      </w:r>
      <w:r w:rsidRPr="00A44D98">
        <w:rPr>
          <w:w w:val="105"/>
        </w:rPr>
        <w:t>on</w:t>
      </w:r>
      <w:r w:rsidRPr="00A44D98">
        <w:rPr>
          <w:spacing w:val="-19"/>
          <w:w w:val="105"/>
        </w:rPr>
        <w:t xml:space="preserve"> </w:t>
      </w:r>
      <w:r w:rsidRPr="00A44D98">
        <w:rPr>
          <w:w w:val="105"/>
        </w:rPr>
        <w:t>A</w:t>
      </w:r>
      <w:r w:rsidRPr="00A44D98">
        <w:rPr>
          <w:spacing w:val="-7"/>
          <w:w w:val="105"/>
        </w:rPr>
        <w:t>s</w:t>
      </w:r>
      <w:r w:rsidRPr="00A44D98">
        <w:rPr>
          <w:spacing w:val="-4"/>
          <w:w w:val="105"/>
        </w:rPr>
        <w:t>s</w:t>
      </w:r>
      <w:r w:rsidRPr="00A44D98">
        <w:rPr>
          <w:w w:val="105"/>
        </w:rPr>
        <w:t>oc</w:t>
      </w:r>
      <w:r w:rsidRPr="00A44D98">
        <w:rPr>
          <w:spacing w:val="-5"/>
          <w:w w:val="105"/>
        </w:rPr>
        <w:t>i</w:t>
      </w:r>
      <w:r w:rsidRPr="00A44D98">
        <w:rPr>
          <w:w w:val="105"/>
        </w:rPr>
        <w:t>at</w:t>
      </w:r>
      <w:r w:rsidRPr="00A44D98">
        <w:rPr>
          <w:spacing w:val="-10"/>
          <w:w w:val="105"/>
        </w:rPr>
        <w:t>i</w:t>
      </w:r>
      <w:r w:rsidRPr="00A44D98">
        <w:rPr>
          <w:w w:val="105"/>
        </w:rPr>
        <w:t>on</w:t>
      </w:r>
      <w:r w:rsidRPr="00A44D98">
        <w:rPr>
          <w:spacing w:val="-18"/>
          <w:w w:val="105"/>
        </w:rPr>
        <w:t xml:space="preserve"> </w:t>
      </w:r>
      <w:r w:rsidRPr="00A44D98">
        <w:rPr>
          <w:w w:val="105"/>
        </w:rPr>
        <w:t>(NFP</w:t>
      </w:r>
      <w:r w:rsidRPr="00A44D98">
        <w:rPr>
          <w:spacing w:val="-5"/>
          <w:w w:val="105"/>
        </w:rPr>
        <w:t>A</w:t>
      </w:r>
      <w:r w:rsidRPr="00A44D98">
        <w:rPr>
          <w:w w:val="105"/>
        </w:rPr>
        <w:t>)</w:t>
      </w:r>
      <w:r w:rsidRPr="00A44D98">
        <w:rPr>
          <w:spacing w:val="-19"/>
          <w:w w:val="105"/>
        </w:rPr>
        <w:t xml:space="preserve"> </w:t>
      </w:r>
      <w:r w:rsidRPr="00A44D98">
        <w:rPr>
          <w:w w:val="105"/>
        </w:rPr>
        <w:t>70.</w:t>
      </w:r>
    </w:p>
    <w:p w14:paraId="6AC53D71" w14:textId="77777777" w:rsidR="00A90345" w:rsidRPr="002B0CEE" w:rsidRDefault="00A90345" w:rsidP="00A90345">
      <w:pPr>
        <w:pStyle w:val="Paragraph"/>
        <w:rPr>
          <w:szCs w:val="22"/>
        </w:rPr>
      </w:pPr>
      <w:r w:rsidRPr="002B0CEE">
        <w:rPr>
          <w:spacing w:val="4"/>
          <w:w w:val="105"/>
          <w:szCs w:val="22"/>
        </w:rPr>
        <w:t>T</w:t>
      </w:r>
      <w:r w:rsidRPr="002B0CEE">
        <w:rPr>
          <w:w w:val="105"/>
          <w:szCs w:val="22"/>
        </w:rPr>
        <w:t>e</w:t>
      </w:r>
      <w:r w:rsidRPr="002B0CEE">
        <w:rPr>
          <w:spacing w:val="-4"/>
          <w:w w:val="105"/>
          <w:szCs w:val="22"/>
        </w:rPr>
        <w:t>s</w:t>
      </w:r>
      <w:r w:rsidRPr="002B0CEE">
        <w:rPr>
          <w:w w:val="105"/>
          <w:szCs w:val="22"/>
        </w:rPr>
        <w:t>t</w:t>
      </w:r>
      <w:r w:rsidRPr="002B0CEE">
        <w:rPr>
          <w:spacing w:val="-10"/>
          <w:w w:val="105"/>
          <w:szCs w:val="22"/>
        </w:rPr>
        <w:t>i</w:t>
      </w:r>
      <w:r w:rsidRPr="002B0CEE">
        <w:rPr>
          <w:w w:val="105"/>
          <w:szCs w:val="22"/>
        </w:rPr>
        <w:t>ng</w:t>
      </w:r>
      <w:r w:rsidRPr="002B0CEE">
        <w:rPr>
          <w:spacing w:val="-12"/>
          <w:w w:val="105"/>
          <w:szCs w:val="22"/>
        </w:rPr>
        <w:t xml:space="preserve"> </w:t>
      </w:r>
      <w:r w:rsidRPr="002B0CEE">
        <w:rPr>
          <w:w w:val="105"/>
          <w:szCs w:val="22"/>
        </w:rPr>
        <w:t>Agency</w:t>
      </w:r>
      <w:r w:rsidRPr="002B0CEE">
        <w:rPr>
          <w:spacing w:val="-19"/>
          <w:w w:val="105"/>
          <w:szCs w:val="22"/>
        </w:rPr>
        <w:t xml:space="preserve"> </w:t>
      </w:r>
      <w:r w:rsidRPr="002B0CEE">
        <w:rPr>
          <w:w w:val="105"/>
          <w:szCs w:val="22"/>
        </w:rPr>
        <w:t>Qual</w:t>
      </w:r>
      <w:r w:rsidRPr="002B0CEE">
        <w:rPr>
          <w:spacing w:val="-4"/>
          <w:w w:val="105"/>
          <w:szCs w:val="22"/>
        </w:rPr>
        <w:t>i</w:t>
      </w:r>
      <w:r w:rsidRPr="002B0CEE">
        <w:rPr>
          <w:w w:val="105"/>
          <w:szCs w:val="22"/>
        </w:rPr>
        <w:t>f</w:t>
      </w:r>
      <w:r w:rsidRPr="002B0CEE">
        <w:rPr>
          <w:spacing w:val="-5"/>
          <w:w w:val="105"/>
          <w:szCs w:val="22"/>
        </w:rPr>
        <w:t>i</w:t>
      </w:r>
      <w:r w:rsidRPr="002B0CEE">
        <w:rPr>
          <w:w w:val="105"/>
          <w:szCs w:val="22"/>
        </w:rPr>
        <w:t>cat</w:t>
      </w:r>
      <w:r w:rsidRPr="002B0CEE">
        <w:rPr>
          <w:spacing w:val="-8"/>
          <w:w w:val="105"/>
          <w:szCs w:val="22"/>
        </w:rPr>
        <w:t>i</w:t>
      </w:r>
      <w:r w:rsidRPr="002B0CEE">
        <w:rPr>
          <w:w w:val="105"/>
          <w:szCs w:val="22"/>
        </w:rPr>
        <w:t>on</w:t>
      </w:r>
      <w:r w:rsidRPr="002B0CEE">
        <w:rPr>
          <w:spacing w:val="-4"/>
          <w:w w:val="105"/>
          <w:szCs w:val="22"/>
        </w:rPr>
        <w:t>s</w:t>
      </w:r>
      <w:r w:rsidRPr="002B0CEE">
        <w:rPr>
          <w:w w:val="105"/>
          <w:szCs w:val="22"/>
        </w:rPr>
        <w:t>:</w:t>
      </w:r>
      <w:r w:rsidRPr="002B0CEE">
        <w:rPr>
          <w:spacing w:val="30"/>
          <w:w w:val="105"/>
          <w:szCs w:val="22"/>
        </w:rPr>
        <w:t xml:space="preserve"> </w:t>
      </w:r>
      <w:r w:rsidRPr="002B0CEE">
        <w:rPr>
          <w:spacing w:val="-8"/>
          <w:w w:val="105"/>
          <w:szCs w:val="22"/>
        </w:rPr>
        <w:t>I</w:t>
      </w:r>
      <w:r w:rsidRPr="002B0CEE">
        <w:rPr>
          <w:w w:val="105"/>
          <w:szCs w:val="22"/>
        </w:rPr>
        <w:t>n</w:t>
      </w:r>
      <w:r w:rsidRPr="002B0CEE">
        <w:rPr>
          <w:spacing w:val="-11"/>
          <w:w w:val="105"/>
          <w:szCs w:val="22"/>
        </w:rPr>
        <w:t xml:space="preserve"> </w:t>
      </w:r>
      <w:r w:rsidRPr="002B0CEE">
        <w:rPr>
          <w:w w:val="105"/>
          <w:szCs w:val="22"/>
        </w:rPr>
        <w:t>add</w:t>
      </w:r>
      <w:r w:rsidRPr="002B0CEE">
        <w:rPr>
          <w:spacing w:val="-7"/>
          <w:w w:val="105"/>
          <w:szCs w:val="22"/>
        </w:rPr>
        <w:t>i</w:t>
      </w:r>
      <w:r w:rsidRPr="002B0CEE">
        <w:rPr>
          <w:w w:val="105"/>
          <w:szCs w:val="22"/>
        </w:rPr>
        <w:t>t</w:t>
      </w:r>
      <w:r w:rsidRPr="002B0CEE">
        <w:rPr>
          <w:spacing w:val="-10"/>
          <w:w w:val="105"/>
          <w:szCs w:val="22"/>
        </w:rPr>
        <w:t>i</w:t>
      </w:r>
      <w:r w:rsidRPr="002B0CEE">
        <w:rPr>
          <w:w w:val="105"/>
          <w:szCs w:val="22"/>
        </w:rPr>
        <w:t>on</w:t>
      </w:r>
      <w:r w:rsidRPr="002B0CEE">
        <w:rPr>
          <w:spacing w:val="-11"/>
          <w:w w:val="105"/>
          <w:szCs w:val="22"/>
        </w:rPr>
        <w:t xml:space="preserve"> </w:t>
      </w:r>
      <w:r w:rsidRPr="002B0CEE">
        <w:rPr>
          <w:w w:val="105"/>
          <w:szCs w:val="22"/>
        </w:rPr>
        <w:t>to</w:t>
      </w:r>
      <w:r w:rsidRPr="002B0CEE">
        <w:rPr>
          <w:spacing w:val="-13"/>
          <w:w w:val="105"/>
          <w:szCs w:val="22"/>
        </w:rPr>
        <w:t xml:space="preserve"> </w:t>
      </w:r>
      <w:r w:rsidRPr="002B0CEE">
        <w:rPr>
          <w:w w:val="105"/>
          <w:szCs w:val="22"/>
        </w:rPr>
        <w:t>requ</w:t>
      </w:r>
      <w:r w:rsidRPr="002B0CEE">
        <w:rPr>
          <w:spacing w:val="-6"/>
          <w:w w:val="105"/>
          <w:szCs w:val="22"/>
        </w:rPr>
        <w:t>i</w:t>
      </w:r>
      <w:r w:rsidRPr="002B0CEE">
        <w:rPr>
          <w:w w:val="105"/>
          <w:szCs w:val="22"/>
        </w:rPr>
        <w:t>re</w:t>
      </w:r>
      <w:r w:rsidRPr="002B0CEE">
        <w:rPr>
          <w:spacing w:val="9"/>
          <w:w w:val="105"/>
          <w:szCs w:val="22"/>
        </w:rPr>
        <w:t>m</w:t>
      </w:r>
      <w:r w:rsidRPr="002B0CEE">
        <w:rPr>
          <w:w w:val="105"/>
          <w:szCs w:val="22"/>
        </w:rPr>
        <w:t>ents</w:t>
      </w:r>
      <w:r w:rsidRPr="002B0CEE">
        <w:rPr>
          <w:spacing w:val="-17"/>
          <w:w w:val="105"/>
          <w:szCs w:val="22"/>
        </w:rPr>
        <w:t xml:space="preserve"> </w:t>
      </w:r>
      <w:r w:rsidRPr="002B0CEE">
        <w:rPr>
          <w:spacing w:val="-4"/>
          <w:w w:val="105"/>
          <w:szCs w:val="22"/>
        </w:rPr>
        <w:t>s</w:t>
      </w:r>
      <w:r w:rsidRPr="002B0CEE">
        <w:rPr>
          <w:w w:val="105"/>
          <w:szCs w:val="22"/>
        </w:rPr>
        <w:t>pec</w:t>
      </w:r>
      <w:r w:rsidRPr="002B0CEE">
        <w:rPr>
          <w:spacing w:val="-5"/>
          <w:w w:val="105"/>
          <w:szCs w:val="22"/>
        </w:rPr>
        <w:t>i</w:t>
      </w:r>
      <w:r w:rsidRPr="002B0CEE">
        <w:rPr>
          <w:w w:val="105"/>
          <w:szCs w:val="22"/>
        </w:rPr>
        <w:t>f</w:t>
      </w:r>
      <w:r w:rsidRPr="002B0CEE">
        <w:rPr>
          <w:spacing w:val="-5"/>
          <w:w w:val="105"/>
          <w:szCs w:val="22"/>
        </w:rPr>
        <w:t>i</w:t>
      </w:r>
      <w:r w:rsidRPr="002B0CEE">
        <w:rPr>
          <w:w w:val="105"/>
          <w:szCs w:val="22"/>
        </w:rPr>
        <w:t>ed</w:t>
      </w:r>
      <w:r w:rsidRPr="002B0CEE">
        <w:rPr>
          <w:spacing w:val="-11"/>
          <w:w w:val="105"/>
          <w:szCs w:val="22"/>
        </w:rPr>
        <w:t xml:space="preserve"> </w:t>
      </w:r>
      <w:r w:rsidRPr="002B0CEE">
        <w:rPr>
          <w:spacing w:val="-7"/>
          <w:w w:val="105"/>
          <w:szCs w:val="22"/>
        </w:rPr>
        <w:t>i</w:t>
      </w:r>
      <w:r w:rsidRPr="002B0CEE">
        <w:rPr>
          <w:w w:val="105"/>
          <w:szCs w:val="22"/>
        </w:rPr>
        <w:t>n</w:t>
      </w:r>
      <w:r w:rsidRPr="002B0CEE">
        <w:rPr>
          <w:spacing w:val="-11"/>
          <w:w w:val="105"/>
          <w:szCs w:val="22"/>
        </w:rPr>
        <w:t xml:space="preserve"> </w:t>
      </w:r>
      <w:r w:rsidRPr="002B0CEE">
        <w:rPr>
          <w:w w:val="105"/>
          <w:szCs w:val="22"/>
        </w:rPr>
        <w:t>Sec</w:t>
      </w:r>
      <w:r w:rsidRPr="002B0CEE">
        <w:rPr>
          <w:spacing w:val="-5"/>
          <w:w w:val="105"/>
          <w:szCs w:val="22"/>
        </w:rPr>
        <w:t>t</w:t>
      </w:r>
      <w:r w:rsidRPr="002B0CEE">
        <w:rPr>
          <w:spacing w:val="-7"/>
          <w:w w:val="105"/>
          <w:szCs w:val="22"/>
        </w:rPr>
        <w:t>i</w:t>
      </w:r>
      <w:r w:rsidRPr="002B0CEE">
        <w:rPr>
          <w:w w:val="105"/>
          <w:szCs w:val="22"/>
        </w:rPr>
        <w:t>on</w:t>
      </w:r>
      <w:r w:rsidRPr="002B0CEE">
        <w:rPr>
          <w:spacing w:val="-11"/>
          <w:w w:val="105"/>
          <w:szCs w:val="22"/>
        </w:rPr>
        <w:t xml:space="preserve"> </w:t>
      </w:r>
      <w:r w:rsidRPr="002B0CEE">
        <w:rPr>
          <w:w w:val="105"/>
          <w:szCs w:val="22"/>
        </w:rPr>
        <w:t>26</w:t>
      </w:r>
      <w:r w:rsidRPr="002B0CEE">
        <w:rPr>
          <w:spacing w:val="-11"/>
          <w:w w:val="105"/>
          <w:szCs w:val="22"/>
        </w:rPr>
        <w:t xml:space="preserve"> </w:t>
      </w:r>
      <w:r w:rsidRPr="002B0CEE">
        <w:rPr>
          <w:w w:val="105"/>
          <w:szCs w:val="22"/>
        </w:rPr>
        <w:t>01</w:t>
      </w:r>
      <w:r w:rsidRPr="002B0CEE">
        <w:rPr>
          <w:spacing w:val="-11"/>
          <w:w w:val="105"/>
          <w:szCs w:val="22"/>
        </w:rPr>
        <w:t xml:space="preserve"> </w:t>
      </w:r>
      <w:r w:rsidRPr="002B0CEE">
        <w:rPr>
          <w:w w:val="105"/>
          <w:szCs w:val="22"/>
        </w:rPr>
        <w:t>26</w:t>
      </w:r>
      <w:r w:rsidRPr="002B0CEE">
        <w:rPr>
          <w:w w:val="103"/>
          <w:szCs w:val="22"/>
        </w:rPr>
        <w:t xml:space="preserve"> </w:t>
      </w:r>
      <w:r w:rsidRPr="002B0CEE">
        <w:rPr>
          <w:spacing w:val="-7"/>
          <w:w w:val="105"/>
          <w:szCs w:val="22"/>
        </w:rPr>
        <w:t>i</w:t>
      </w:r>
      <w:r w:rsidRPr="002B0CEE">
        <w:rPr>
          <w:w w:val="105"/>
          <w:szCs w:val="22"/>
        </w:rPr>
        <w:t>ndependent</w:t>
      </w:r>
      <w:r w:rsidRPr="002B0CEE">
        <w:rPr>
          <w:spacing w:val="-15"/>
          <w:w w:val="105"/>
          <w:szCs w:val="22"/>
        </w:rPr>
        <w:t xml:space="preserve"> </w:t>
      </w:r>
      <w:r w:rsidRPr="002B0CEE">
        <w:rPr>
          <w:spacing w:val="-6"/>
          <w:w w:val="105"/>
          <w:szCs w:val="22"/>
        </w:rPr>
        <w:t>t</w:t>
      </w:r>
      <w:r w:rsidRPr="002B0CEE">
        <w:rPr>
          <w:w w:val="105"/>
          <w:szCs w:val="22"/>
        </w:rPr>
        <w:t>e</w:t>
      </w:r>
      <w:r w:rsidRPr="002B0CEE">
        <w:rPr>
          <w:spacing w:val="-4"/>
          <w:w w:val="105"/>
          <w:szCs w:val="22"/>
        </w:rPr>
        <w:t>s</w:t>
      </w:r>
      <w:r w:rsidRPr="002B0CEE">
        <w:rPr>
          <w:w w:val="105"/>
          <w:szCs w:val="22"/>
        </w:rPr>
        <w:t>t</w:t>
      </w:r>
      <w:r w:rsidRPr="002B0CEE">
        <w:rPr>
          <w:spacing w:val="-10"/>
          <w:w w:val="105"/>
          <w:szCs w:val="22"/>
        </w:rPr>
        <w:t>i</w:t>
      </w:r>
      <w:r w:rsidRPr="002B0CEE">
        <w:rPr>
          <w:w w:val="105"/>
          <w:szCs w:val="22"/>
        </w:rPr>
        <w:t>ng</w:t>
      </w:r>
      <w:r w:rsidRPr="002B0CEE">
        <w:rPr>
          <w:spacing w:val="-14"/>
          <w:w w:val="105"/>
          <w:szCs w:val="22"/>
        </w:rPr>
        <w:t xml:space="preserve"> </w:t>
      </w:r>
      <w:r w:rsidRPr="002B0CEE">
        <w:rPr>
          <w:w w:val="105"/>
          <w:szCs w:val="22"/>
        </w:rPr>
        <w:t>agency</w:t>
      </w:r>
      <w:r w:rsidRPr="002B0CEE">
        <w:rPr>
          <w:spacing w:val="-20"/>
          <w:w w:val="105"/>
          <w:szCs w:val="22"/>
        </w:rPr>
        <w:t xml:space="preserve"> </w:t>
      </w:r>
      <w:r w:rsidRPr="002B0CEE">
        <w:rPr>
          <w:spacing w:val="-4"/>
          <w:w w:val="105"/>
          <w:szCs w:val="22"/>
        </w:rPr>
        <w:t>s</w:t>
      </w:r>
      <w:r w:rsidRPr="002B0CEE">
        <w:rPr>
          <w:w w:val="105"/>
          <w:szCs w:val="22"/>
        </w:rPr>
        <w:t>ha</w:t>
      </w:r>
      <w:r w:rsidRPr="002B0CEE">
        <w:rPr>
          <w:spacing w:val="4"/>
          <w:w w:val="105"/>
          <w:szCs w:val="22"/>
        </w:rPr>
        <w:t>l</w:t>
      </w:r>
      <w:r w:rsidRPr="002B0CEE">
        <w:rPr>
          <w:w w:val="105"/>
          <w:szCs w:val="22"/>
        </w:rPr>
        <w:t>l</w:t>
      </w:r>
      <w:r w:rsidRPr="002B0CEE">
        <w:rPr>
          <w:spacing w:val="-11"/>
          <w:w w:val="105"/>
          <w:szCs w:val="22"/>
        </w:rPr>
        <w:t xml:space="preserve"> </w:t>
      </w:r>
      <w:r w:rsidRPr="002B0CEE">
        <w:rPr>
          <w:spacing w:val="8"/>
          <w:w w:val="105"/>
          <w:szCs w:val="22"/>
        </w:rPr>
        <w:t>m</w:t>
      </w:r>
      <w:r w:rsidRPr="002B0CEE">
        <w:rPr>
          <w:w w:val="105"/>
          <w:szCs w:val="22"/>
        </w:rPr>
        <w:t>eet</w:t>
      </w:r>
      <w:r w:rsidRPr="002B0CEE">
        <w:rPr>
          <w:spacing w:val="-15"/>
          <w:w w:val="105"/>
          <w:szCs w:val="22"/>
        </w:rPr>
        <w:t xml:space="preserve"> </w:t>
      </w:r>
      <w:r w:rsidRPr="002B0CEE">
        <w:rPr>
          <w:spacing w:val="-4"/>
          <w:w w:val="105"/>
          <w:szCs w:val="22"/>
        </w:rPr>
        <w:t>O</w:t>
      </w:r>
      <w:r w:rsidRPr="002B0CEE">
        <w:rPr>
          <w:w w:val="105"/>
          <w:szCs w:val="22"/>
        </w:rPr>
        <w:t>SHA</w:t>
      </w:r>
      <w:r w:rsidRPr="002B0CEE">
        <w:rPr>
          <w:spacing w:val="-17"/>
          <w:w w:val="105"/>
          <w:szCs w:val="22"/>
        </w:rPr>
        <w:t xml:space="preserve"> </w:t>
      </w:r>
      <w:r w:rsidRPr="002B0CEE">
        <w:rPr>
          <w:w w:val="105"/>
          <w:szCs w:val="22"/>
        </w:rPr>
        <w:t>cr</w:t>
      </w:r>
      <w:r w:rsidRPr="002B0CEE">
        <w:rPr>
          <w:spacing w:val="-5"/>
          <w:w w:val="105"/>
          <w:szCs w:val="22"/>
        </w:rPr>
        <w:t>i</w:t>
      </w:r>
      <w:r w:rsidRPr="002B0CEE">
        <w:rPr>
          <w:w w:val="105"/>
          <w:szCs w:val="22"/>
        </w:rPr>
        <w:t>ter</w:t>
      </w:r>
      <w:r w:rsidRPr="002B0CEE">
        <w:rPr>
          <w:spacing w:val="-9"/>
          <w:w w:val="105"/>
          <w:szCs w:val="22"/>
        </w:rPr>
        <w:t>i</w:t>
      </w:r>
      <w:r w:rsidRPr="002B0CEE">
        <w:rPr>
          <w:w w:val="105"/>
          <w:szCs w:val="22"/>
        </w:rPr>
        <w:t>a</w:t>
      </w:r>
      <w:r w:rsidRPr="002B0CEE">
        <w:rPr>
          <w:spacing w:val="-15"/>
          <w:w w:val="105"/>
          <w:szCs w:val="22"/>
        </w:rPr>
        <w:t xml:space="preserve"> </w:t>
      </w:r>
      <w:r w:rsidRPr="002B0CEE">
        <w:rPr>
          <w:w w:val="105"/>
          <w:szCs w:val="22"/>
        </w:rPr>
        <w:t>for</w:t>
      </w:r>
      <w:r w:rsidRPr="002B0CEE">
        <w:rPr>
          <w:spacing w:val="-14"/>
          <w:w w:val="105"/>
          <w:szCs w:val="22"/>
        </w:rPr>
        <w:t xml:space="preserve"> </w:t>
      </w:r>
      <w:r w:rsidRPr="002B0CEE">
        <w:rPr>
          <w:w w:val="105"/>
          <w:szCs w:val="22"/>
        </w:rPr>
        <w:t>a</w:t>
      </w:r>
      <w:r w:rsidRPr="002B0CEE">
        <w:rPr>
          <w:spacing w:val="4"/>
          <w:w w:val="105"/>
          <w:szCs w:val="22"/>
        </w:rPr>
        <w:t>c</w:t>
      </w:r>
      <w:r w:rsidRPr="002B0CEE">
        <w:rPr>
          <w:w w:val="105"/>
          <w:szCs w:val="22"/>
        </w:rPr>
        <w:t>cred</w:t>
      </w:r>
      <w:r w:rsidRPr="002B0CEE">
        <w:rPr>
          <w:spacing w:val="-5"/>
          <w:w w:val="105"/>
          <w:szCs w:val="22"/>
        </w:rPr>
        <w:t>i</w:t>
      </w:r>
      <w:r w:rsidRPr="002B0CEE">
        <w:rPr>
          <w:w w:val="105"/>
          <w:szCs w:val="22"/>
        </w:rPr>
        <w:t>ta</w:t>
      </w:r>
      <w:r w:rsidRPr="002B0CEE">
        <w:rPr>
          <w:spacing w:val="-6"/>
          <w:w w:val="105"/>
          <w:szCs w:val="22"/>
        </w:rPr>
        <w:t>t</w:t>
      </w:r>
      <w:r w:rsidRPr="002B0CEE">
        <w:rPr>
          <w:spacing w:val="-7"/>
          <w:w w:val="105"/>
          <w:szCs w:val="22"/>
        </w:rPr>
        <w:t>i</w:t>
      </w:r>
      <w:r w:rsidRPr="002B0CEE">
        <w:rPr>
          <w:w w:val="105"/>
          <w:szCs w:val="22"/>
        </w:rPr>
        <w:t>on</w:t>
      </w:r>
      <w:r w:rsidRPr="002B0CEE">
        <w:rPr>
          <w:spacing w:val="-15"/>
          <w:w w:val="105"/>
          <w:szCs w:val="22"/>
        </w:rPr>
        <w:t xml:space="preserve"> </w:t>
      </w:r>
      <w:r w:rsidRPr="002B0CEE">
        <w:rPr>
          <w:w w:val="105"/>
          <w:szCs w:val="22"/>
        </w:rPr>
        <w:t>of</w:t>
      </w:r>
      <w:r w:rsidRPr="002B0CEE">
        <w:rPr>
          <w:spacing w:val="-14"/>
          <w:w w:val="105"/>
          <w:szCs w:val="22"/>
        </w:rPr>
        <w:t xml:space="preserve"> </w:t>
      </w:r>
      <w:r w:rsidRPr="002B0CEE">
        <w:rPr>
          <w:w w:val="105"/>
          <w:szCs w:val="22"/>
        </w:rPr>
        <w:t>te</w:t>
      </w:r>
      <w:r w:rsidRPr="002B0CEE">
        <w:rPr>
          <w:spacing w:val="-5"/>
          <w:w w:val="105"/>
          <w:szCs w:val="22"/>
        </w:rPr>
        <w:t>s</w:t>
      </w:r>
      <w:r w:rsidRPr="002B0CEE">
        <w:rPr>
          <w:w w:val="105"/>
          <w:szCs w:val="22"/>
        </w:rPr>
        <w:t>t</w:t>
      </w:r>
      <w:r w:rsidRPr="002B0CEE">
        <w:rPr>
          <w:spacing w:val="-10"/>
          <w:w w:val="105"/>
          <w:szCs w:val="22"/>
        </w:rPr>
        <w:t>i</w:t>
      </w:r>
      <w:r w:rsidRPr="002B0CEE">
        <w:rPr>
          <w:w w:val="105"/>
          <w:szCs w:val="22"/>
        </w:rPr>
        <w:t>ng</w:t>
      </w:r>
      <w:r w:rsidRPr="002B0CEE">
        <w:rPr>
          <w:spacing w:val="-15"/>
          <w:w w:val="105"/>
          <w:szCs w:val="22"/>
        </w:rPr>
        <w:t xml:space="preserve"> </w:t>
      </w:r>
      <w:r w:rsidRPr="002B0CEE">
        <w:rPr>
          <w:spacing w:val="4"/>
          <w:w w:val="105"/>
          <w:szCs w:val="22"/>
        </w:rPr>
        <w:t>l</w:t>
      </w:r>
      <w:r w:rsidRPr="002B0CEE">
        <w:rPr>
          <w:w w:val="105"/>
          <w:szCs w:val="22"/>
        </w:rPr>
        <w:t>aborator</w:t>
      </w:r>
      <w:r w:rsidRPr="002B0CEE">
        <w:rPr>
          <w:spacing w:val="-8"/>
          <w:w w:val="105"/>
          <w:szCs w:val="22"/>
        </w:rPr>
        <w:t>i</w:t>
      </w:r>
      <w:r w:rsidRPr="002B0CEE">
        <w:rPr>
          <w:w w:val="105"/>
          <w:szCs w:val="22"/>
        </w:rPr>
        <w:t>e</w:t>
      </w:r>
      <w:r w:rsidRPr="002B0CEE">
        <w:rPr>
          <w:spacing w:val="-4"/>
          <w:w w:val="105"/>
          <w:szCs w:val="22"/>
        </w:rPr>
        <w:t>s</w:t>
      </w:r>
      <w:r w:rsidRPr="002B0CEE">
        <w:rPr>
          <w:w w:val="105"/>
          <w:szCs w:val="22"/>
        </w:rPr>
        <w:t>,</w:t>
      </w:r>
      <w:r w:rsidRPr="002B0CEE">
        <w:rPr>
          <w:w w:val="103"/>
          <w:szCs w:val="22"/>
        </w:rPr>
        <w:t xml:space="preserve"> </w:t>
      </w:r>
      <w:r w:rsidRPr="002B0CEE">
        <w:rPr>
          <w:spacing w:val="4"/>
          <w:w w:val="105"/>
          <w:szCs w:val="22"/>
        </w:rPr>
        <w:t>T</w:t>
      </w:r>
      <w:r w:rsidRPr="002B0CEE">
        <w:rPr>
          <w:spacing w:val="-7"/>
          <w:w w:val="105"/>
          <w:szCs w:val="22"/>
        </w:rPr>
        <w:t>i</w:t>
      </w:r>
      <w:r w:rsidRPr="002B0CEE">
        <w:rPr>
          <w:w w:val="105"/>
          <w:szCs w:val="22"/>
        </w:rPr>
        <w:t>tle</w:t>
      </w:r>
      <w:r w:rsidRPr="002B0CEE">
        <w:rPr>
          <w:spacing w:val="-12"/>
          <w:w w:val="105"/>
          <w:szCs w:val="22"/>
        </w:rPr>
        <w:t xml:space="preserve"> </w:t>
      </w:r>
      <w:r w:rsidRPr="002B0CEE">
        <w:rPr>
          <w:w w:val="105"/>
          <w:szCs w:val="22"/>
        </w:rPr>
        <w:t>29,</w:t>
      </w:r>
      <w:r w:rsidRPr="002B0CEE">
        <w:rPr>
          <w:spacing w:val="-12"/>
          <w:w w:val="105"/>
          <w:szCs w:val="22"/>
        </w:rPr>
        <w:t xml:space="preserve"> </w:t>
      </w:r>
      <w:r w:rsidRPr="002B0CEE">
        <w:rPr>
          <w:spacing w:val="-6"/>
          <w:w w:val="105"/>
          <w:szCs w:val="22"/>
        </w:rPr>
        <w:t>P</w:t>
      </w:r>
      <w:r w:rsidRPr="002B0CEE">
        <w:rPr>
          <w:w w:val="105"/>
          <w:szCs w:val="22"/>
        </w:rPr>
        <w:t>art</w:t>
      </w:r>
      <w:r w:rsidRPr="002B0CEE">
        <w:rPr>
          <w:spacing w:val="-12"/>
          <w:w w:val="105"/>
          <w:szCs w:val="22"/>
        </w:rPr>
        <w:t xml:space="preserve"> </w:t>
      </w:r>
      <w:r w:rsidRPr="002B0CEE">
        <w:rPr>
          <w:w w:val="105"/>
          <w:szCs w:val="22"/>
        </w:rPr>
        <w:t>1907,</w:t>
      </w:r>
      <w:r w:rsidRPr="002B0CEE">
        <w:rPr>
          <w:spacing w:val="-16"/>
          <w:w w:val="105"/>
          <w:szCs w:val="22"/>
        </w:rPr>
        <w:t xml:space="preserve"> </w:t>
      </w:r>
      <w:r w:rsidRPr="002B0CEE">
        <w:rPr>
          <w:w w:val="105"/>
          <w:szCs w:val="22"/>
        </w:rPr>
        <w:t>or</w:t>
      </w:r>
      <w:r w:rsidRPr="002B0CEE">
        <w:rPr>
          <w:spacing w:val="-12"/>
          <w:w w:val="105"/>
          <w:szCs w:val="22"/>
        </w:rPr>
        <w:t xml:space="preserve"> </w:t>
      </w:r>
      <w:r w:rsidRPr="002B0CEE">
        <w:rPr>
          <w:w w:val="105"/>
          <w:szCs w:val="22"/>
        </w:rPr>
        <w:t>shall</w:t>
      </w:r>
      <w:r w:rsidRPr="002B0CEE">
        <w:rPr>
          <w:spacing w:val="-9"/>
          <w:w w:val="105"/>
          <w:szCs w:val="22"/>
        </w:rPr>
        <w:t xml:space="preserve"> </w:t>
      </w:r>
      <w:r w:rsidRPr="002B0CEE">
        <w:rPr>
          <w:w w:val="105"/>
          <w:szCs w:val="22"/>
        </w:rPr>
        <w:t>be</w:t>
      </w:r>
      <w:r w:rsidRPr="002B0CEE">
        <w:rPr>
          <w:spacing w:val="-12"/>
          <w:w w:val="105"/>
          <w:szCs w:val="22"/>
        </w:rPr>
        <w:t xml:space="preserve"> </w:t>
      </w:r>
      <w:r w:rsidRPr="002B0CEE">
        <w:rPr>
          <w:w w:val="105"/>
          <w:szCs w:val="22"/>
        </w:rPr>
        <w:t>fu</w:t>
      </w:r>
      <w:r w:rsidRPr="002B0CEE">
        <w:rPr>
          <w:spacing w:val="6"/>
          <w:w w:val="105"/>
          <w:szCs w:val="22"/>
        </w:rPr>
        <w:t>l</w:t>
      </w:r>
      <w:r w:rsidRPr="002B0CEE">
        <w:rPr>
          <w:w w:val="105"/>
          <w:szCs w:val="22"/>
        </w:rPr>
        <w:t>l</w:t>
      </w:r>
      <w:r w:rsidRPr="002B0CEE">
        <w:rPr>
          <w:spacing w:val="-9"/>
          <w:w w:val="105"/>
          <w:szCs w:val="22"/>
        </w:rPr>
        <w:t xml:space="preserve"> </w:t>
      </w:r>
      <w:r w:rsidRPr="002B0CEE">
        <w:rPr>
          <w:spacing w:val="8"/>
          <w:w w:val="105"/>
          <w:szCs w:val="22"/>
        </w:rPr>
        <w:t>m</w:t>
      </w:r>
      <w:r w:rsidRPr="002B0CEE">
        <w:rPr>
          <w:w w:val="105"/>
          <w:szCs w:val="22"/>
        </w:rPr>
        <w:t>e</w:t>
      </w:r>
      <w:r w:rsidRPr="002B0CEE">
        <w:rPr>
          <w:spacing w:val="8"/>
          <w:w w:val="105"/>
          <w:szCs w:val="22"/>
        </w:rPr>
        <w:t>m</w:t>
      </w:r>
      <w:r w:rsidRPr="002B0CEE">
        <w:rPr>
          <w:w w:val="105"/>
          <w:szCs w:val="22"/>
        </w:rPr>
        <w:t>ber</w:t>
      </w:r>
      <w:r w:rsidRPr="002B0CEE">
        <w:rPr>
          <w:spacing w:val="-12"/>
          <w:w w:val="105"/>
          <w:szCs w:val="22"/>
        </w:rPr>
        <w:t xml:space="preserve"> </w:t>
      </w:r>
      <w:r w:rsidRPr="002B0CEE">
        <w:rPr>
          <w:w w:val="105"/>
          <w:szCs w:val="22"/>
        </w:rPr>
        <w:t>co</w:t>
      </w:r>
      <w:r w:rsidRPr="002B0CEE">
        <w:rPr>
          <w:spacing w:val="10"/>
          <w:w w:val="105"/>
          <w:szCs w:val="22"/>
        </w:rPr>
        <w:t>m</w:t>
      </w:r>
      <w:r w:rsidRPr="002B0CEE">
        <w:rPr>
          <w:w w:val="105"/>
          <w:szCs w:val="22"/>
        </w:rPr>
        <w:t>pany</w:t>
      </w:r>
      <w:r w:rsidRPr="002B0CEE">
        <w:rPr>
          <w:spacing w:val="-18"/>
          <w:w w:val="105"/>
          <w:szCs w:val="22"/>
        </w:rPr>
        <w:t xml:space="preserve"> </w:t>
      </w:r>
      <w:r w:rsidRPr="002B0CEE">
        <w:rPr>
          <w:spacing w:val="-7"/>
          <w:w w:val="105"/>
          <w:szCs w:val="22"/>
        </w:rPr>
        <w:t>i</w:t>
      </w:r>
      <w:r w:rsidRPr="002B0CEE">
        <w:rPr>
          <w:w w:val="105"/>
          <w:szCs w:val="22"/>
        </w:rPr>
        <w:t>n</w:t>
      </w:r>
      <w:r w:rsidRPr="002B0CEE">
        <w:rPr>
          <w:spacing w:val="-12"/>
          <w:w w:val="105"/>
          <w:szCs w:val="22"/>
        </w:rPr>
        <w:t xml:space="preserve"> </w:t>
      </w:r>
      <w:proofErr w:type="spellStart"/>
      <w:r w:rsidRPr="002B0CEE">
        <w:rPr>
          <w:spacing w:val="-8"/>
          <w:w w:val="105"/>
          <w:szCs w:val="22"/>
        </w:rPr>
        <w:t>I</w:t>
      </w:r>
      <w:r w:rsidRPr="002B0CEE">
        <w:rPr>
          <w:w w:val="105"/>
          <w:szCs w:val="22"/>
        </w:rPr>
        <w:t>nterNa</w:t>
      </w:r>
      <w:r w:rsidRPr="002B0CEE">
        <w:rPr>
          <w:spacing w:val="-5"/>
          <w:w w:val="105"/>
          <w:szCs w:val="22"/>
        </w:rPr>
        <w:t>t</w:t>
      </w:r>
      <w:r w:rsidRPr="002B0CEE">
        <w:rPr>
          <w:spacing w:val="-7"/>
          <w:w w:val="105"/>
          <w:szCs w:val="22"/>
        </w:rPr>
        <w:t>i</w:t>
      </w:r>
      <w:r w:rsidRPr="002B0CEE">
        <w:rPr>
          <w:w w:val="105"/>
          <w:szCs w:val="22"/>
        </w:rPr>
        <w:t>onal</w:t>
      </w:r>
      <w:proofErr w:type="spellEnd"/>
      <w:r w:rsidRPr="002B0CEE">
        <w:rPr>
          <w:spacing w:val="-9"/>
          <w:w w:val="105"/>
          <w:szCs w:val="22"/>
        </w:rPr>
        <w:t xml:space="preserve"> </w:t>
      </w:r>
      <w:r w:rsidRPr="002B0CEE">
        <w:rPr>
          <w:w w:val="105"/>
          <w:szCs w:val="22"/>
        </w:rPr>
        <w:t>Electr</w:t>
      </w:r>
      <w:r w:rsidRPr="002B0CEE">
        <w:rPr>
          <w:spacing w:val="-7"/>
          <w:w w:val="105"/>
          <w:szCs w:val="22"/>
        </w:rPr>
        <w:t>i</w:t>
      </w:r>
      <w:r w:rsidRPr="002B0CEE">
        <w:rPr>
          <w:w w:val="105"/>
          <w:szCs w:val="22"/>
        </w:rPr>
        <w:t>cal</w:t>
      </w:r>
      <w:r w:rsidRPr="002B0CEE">
        <w:rPr>
          <w:spacing w:val="-8"/>
          <w:w w:val="105"/>
          <w:szCs w:val="22"/>
        </w:rPr>
        <w:t xml:space="preserve"> </w:t>
      </w:r>
      <w:r w:rsidRPr="002B0CEE">
        <w:rPr>
          <w:spacing w:val="4"/>
          <w:w w:val="105"/>
          <w:szCs w:val="22"/>
        </w:rPr>
        <w:t>T</w:t>
      </w:r>
      <w:r w:rsidRPr="002B0CEE">
        <w:rPr>
          <w:w w:val="105"/>
          <w:szCs w:val="22"/>
        </w:rPr>
        <w:t>e</w:t>
      </w:r>
      <w:r w:rsidRPr="002B0CEE">
        <w:rPr>
          <w:spacing w:val="-4"/>
          <w:w w:val="105"/>
          <w:szCs w:val="22"/>
        </w:rPr>
        <w:t>s</w:t>
      </w:r>
      <w:r w:rsidRPr="002B0CEE">
        <w:rPr>
          <w:w w:val="105"/>
          <w:szCs w:val="22"/>
        </w:rPr>
        <w:t>t</w:t>
      </w:r>
      <w:r w:rsidRPr="002B0CEE">
        <w:rPr>
          <w:spacing w:val="-10"/>
          <w:w w:val="105"/>
          <w:szCs w:val="22"/>
        </w:rPr>
        <w:t>i</w:t>
      </w:r>
      <w:r w:rsidRPr="002B0CEE">
        <w:rPr>
          <w:w w:val="105"/>
          <w:szCs w:val="22"/>
        </w:rPr>
        <w:t>ng</w:t>
      </w:r>
      <w:r w:rsidRPr="002B0CEE">
        <w:rPr>
          <w:w w:val="103"/>
          <w:szCs w:val="22"/>
        </w:rPr>
        <w:t xml:space="preserve"> </w:t>
      </w:r>
      <w:r w:rsidRPr="002B0CEE">
        <w:rPr>
          <w:w w:val="105"/>
          <w:szCs w:val="22"/>
        </w:rPr>
        <w:t>A</w:t>
      </w:r>
      <w:r w:rsidRPr="002B0CEE">
        <w:rPr>
          <w:spacing w:val="-7"/>
          <w:w w:val="105"/>
          <w:szCs w:val="22"/>
        </w:rPr>
        <w:t>s</w:t>
      </w:r>
      <w:r w:rsidRPr="002B0CEE">
        <w:rPr>
          <w:spacing w:val="-4"/>
          <w:w w:val="105"/>
          <w:szCs w:val="22"/>
        </w:rPr>
        <w:t>s</w:t>
      </w:r>
      <w:r w:rsidRPr="002B0CEE">
        <w:rPr>
          <w:w w:val="105"/>
          <w:szCs w:val="22"/>
        </w:rPr>
        <w:t>oc</w:t>
      </w:r>
      <w:r w:rsidRPr="002B0CEE">
        <w:rPr>
          <w:spacing w:val="-5"/>
          <w:w w:val="105"/>
          <w:szCs w:val="22"/>
        </w:rPr>
        <w:t>i</w:t>
      </w:r>
      <w:r w:rsidRPr="002B0CEE">
        <w:rPr>
          <w:w w:val="105"/>
          <w:szCs w:val="22"/>
        </w:rPr>
        <w:t>at</w:t>
      </w:r>
      <w:r w:rsidRPr="002B0CEE">
        <w:rPr>
          <w:spacing w:val="-10"/>
          <w:w w:val="105"/>
          <w:szCs w:val="22"/>
        </w:rPr>
        <w:t>i</w:t>
      </w:r>
      <w:r w:rsidRPr="002B0CEE">
        <w:rPr>
          <w:w w:val="105"/>
          <w:szCs w:val="22"/>
        </w:rPr>
        <w:t>on (NETA).</w:t>
      </w:r>
    </w:p>
    <w:p w14:paraId="2BD30466" w14:textId="77777777" w:rsidR="00A90345" w:rsidRPr="00A44D98" w:rsidRDefault="00A90345" w:rsidP="00A90345">
      <w:pPr>
        <w:pStyle w:val="Paragraph"/>
        <w:rPr>
          <w:szCs w:val="22"/>
        </w:rPr>
      </w:pPr>
      <w:r w:rsidRPr="00A44D98">
        <w:rPr>
          <w:szCs w:val="22"/>
        </w:rPr>
        <w:t>Manufacturer:</w:t>
      </w:r>
    </w:p>
    <w:p w14:paraId="595C898E" w14:textId="77777777" w:rsidR="00A90345" w:rsidRDefault="00A90345" w:rsidP="00A90345">
      <w:pPr>
        <w:pStyle w:val="Paragraph1"/>
        <w:tabs>
          <w:tab w:val="num" w:pos="1440"/>
        </w:tabs>
        <w:rPr>
          <w:szCs w:val="22"/>
        </w:rPr>
      </w:pPr>
      <w:r w:rsidRPr="00A44D98">
        <w:rPr>
          <w:szCs w:val="22"/>
        </w:rPr>
        <w:t>Manufacturer shall have not less than five years of experience producing substantially similar equipment to that required and, upon request, shall submit documentation of not less than five installations in satisfactory operation for not less than five years in the United States.</w:t>
      </w:r>
    </w:p>
    <w:p w14:paraId="4E15F7E2" w14:textId="77777777" w:rsidR="00A90345" w:rsidRDefault="00A90345" w:rsidP="00080327">
      <w:pPr>
        <w:pStyle w:val="ArticleHeading"/>
      </w:pPr>
      <w:r w:rsidRPr="00267BAA">
        <w:t>Delivery, Storage, and Handling</w:t>
      </w:r>
    </w:p>
    <w:p w14:paraId="3BD37723" w14:textId="77777777" w:rsidR="00A90345" w:rsidRPr="00267BAA" w:rsidRDefault="00A90345" w:rsidP="00A90345">
      <w:pPr>
        <w:pStyle w:val="Paragraph"/>
      </w:pPr>
      <w:r>
        <w:t>Equipment shall be handled and stored in accordance with manufacturer’s instructions.</w:t>
      </w:r>
    </w:p>
    <w:p w14:paraId="3A8E51FB" w14:textId="77777777" w:rsidR="00A90345" w:rsidRPr="00A44D98" w:rsidRDefault="00A90345" w:rsidP="00A90345">
      <w:pPr>
        <w:pStyle w:val="PartDesignation"/>
        <w:ind w:left="0"/>
      </w:pPr>
      <w:r w:rsidRPr="00A44D98">
        <w:t>- PRODUCTS</w:t>
      </w:r>
    </w:p>
    <w:p w14:paraId="00EBE2FA" w14:textId="77777777" w:rsidR="00A90345" w:rsidRPr="00A44D98" w:rsidRDefault="00A90345" w:rsidP="00080327">
      <w:pPr>
        <w:pStyle w:val="ArticleHeading"/>
      </w:pPr>
      <w:bookmarkStart w:id="7" w:name="2.1_MANUFACTURERS"/>
      <w:bookmarkStart w:id="8" w:name="A._Subject_to_compliance_with_requiremen"/>
      <w:bookmarkEnd w:id="7"/>
      <w:bookmarkEnd w:id="8"/>
      <w:r w:rsidRPr="00A44D98">
        <w:t>MANUFACTURERS</w:t>
      </w:r>
    </w:p>
    <w:p w14:paraId="746F4DA9" w14:textId="77777777" w:rsidR="00A90345" w:rsidRDefault="00A90345" w:rsidP="00A90345">
      <w:pPr>
        <w:pStyle w:val="Paragraph"/>
      </w:pPr>
      <w:r>
        <w:t>Subject to compliance with requirements, provide products by the following:</w:t>
      </w:r>
    </w:p>
    <w:p w14:paraId="6D03391D" w14:textId="77777777" w:rsidR="00A90345" w:rsidRDefault="00A90345" w:rsidP="00A90345">
      <w:pPr>
        <w:pStyle w:val="Paragraph1"/>
        <w:tabs>
          <w:tab w:val="num" w:pos="1440"/>
        </w:tabs>
      </w:pPr>
      <w:r>
        <w:lastRenderedPageBreak/>
        <w:t>External SPDs:</w:t>
      </w:r>
    </w:p>
    <w:p w14:paraId="2FB30858" w14:textId="77777777" w:rsidR="00A90345" w:rsidRDefault="00A90345" w:rsidP="00A90345">
      <w:pPr>
        <w:pStyle w:val="Subparagrapha"/>
        <w:tabs>
          <w:tab w:val="clear" w:pos="432"/>
          <w:tab w:val="num" w:pos="1872"/>
        </w:tabs>
        <w:ind w:left="1872"/>
      </w:pPr>
      <w:r>
        <w:t>ASCO Power Technologies</w:t>
      </w:r>
    </w:p>
    <w:p w14:paraId="0253E6B9" w14:textId="77777777" w:rsidR="00A90345" w:rsidRDefault="00A90345" w:rsidP="00A90345">
      <w:pPr>
        <w:pStyle w:val="Subparagrapha"/>
        <w:tabs>
          <w:tab w:val="clear" w:pos="432"/>
          <w:tab w:val="num" w:pos="1872"/>
        </w:tabs>
        <w:ind w:left="1872"/>
      </w:pPr>
      <w:r>
        <w:t>Current Technologies</w:t>
      </w:r>
    </w:p>
    <w:p w14:paraId="67C6F702" w14:textId="77777777" w:rsidR="00A90345" w:rsidRDefault="00A90345" w:rsidP="00A90345">
      <w:pPr>
        <w:pStyle w:val="Paragraph1"/>
        <w:tabs>
          <w:tab w:val="num" w:pos="1440"/>
        </w:tabs>
      </w:pPr>
      <w:r>
        <w:t>Internal SPDs:</w:t>
      </w:r>
    </w:p>
    <w:p w14:paraId="56FF0396" w14:textId="77777777" w:rsidR="00A90345" w:rsidRDefault="00A90345" w:rsidP="00A90345">
      <w:pPr>
        <w:pStyle w:val="Subparagrapha"/>
        <w:tabs>
          <w:tab w:val="clear" w:pos="432"/>
          <w:tab w:val="num" w:pos="1872"/>
        </w:tabs>
        <w:ind w:left="1872"/>
      </w:pPr>
      <w:r>
        <w:t>Eaton.</w:t>
      </w:r>
    </w:p>
    <w:p w14:paraId="103965A4" w14:textId="77777777" w:rsidR="00A90345" w:rsidRDefault="00A90345" w:rsidP="00A90345">
      <w:pPr>
        <w:pStyle w:val="Subparagrapha"/>
        <w:tabs>
          <w:tab w:val="clear" w:pos="432"/>
          <w:tab w:val="num" w:pos="1872"/>
        </w:tabs>
        <w:ind w:left="1872"/>
      </w:pPr>
      <w:r>
        <w:t>Siemens</w:t>
      </w:r>
    </w:p>
    <w:p w14:paraId="04FCF762" w14:textId="77777777" w:rsidR="00A90345" w:rsidRDefault="00A90345" w:rsidP="00A90345">
      <w:pPr>
        <w:pStyle w:val="Subparagrapha"/>
        <w:tabs>
          <w:tab w:val="clear" w:pos="432"/>
          <w:tab w:val="num" w:pos="1872"/>
        </w:tabs>
        <w:ind w:left="1872"/>
      </w:pPr>
      <w:r>
        <w:t>Square D.</w:t>
      </w:r>
    </w:p>
    <w:p w14:paraId="77AB23EB" w14:textId="77777777" w:rsidR="00A90345" w:rsidRPr="00267BAA" w:rsidRDefault="00A90345" w:rsidP="00080327">
      <w:pPr>
        <w:pStyle w:val="ArticleHeading"/>
      </w:pPr>
      <w:r w:rsidRPr="00267BAA">
        <w:t xml:space="preserve">general </w:t>
      </w:r>
      <w:proofErr w:type="spellStart"/>
      <w:r w:rsidRPr="00267BAA">
        <w:t>spd</w:t>
      </w:r>
      <w:proofErr w:type="spellEnd"/>
      <w:r w:rsidRPr="00267BAA">
        <w:t xml:space="preserve"> requirements</w:t>
      </w:r>
    </w:p>
    <w:p w14:paraId="7B8DECD9" w14:textId="77777777" w:rsidR="00A90345" w:rsidRDefault="00A90345" w:rsidP="00A90345">
      <w:pPr>
        <w:pStyle w:val="Paragraph"/>
      </w:pPr>
      <w:r>
        <w:t>SPD with Accessories: Listed and labeled as defined in NFPA 70, by a qualified testing agency, and marked for intended location and application.</w:t>
      </w:r>
    </w:p>
    <w:p w14:paraId="0EC4320D" w14:textId="77777777" w:rsidR="00A90345" w:rsidRDefault="00A90345" w:rsidP="00A90345">
      <w:pPr>
        <w:pStyle w:val="Paragraph"/>
      </w:pPr>
      <w:r>
        <w:t>Comply with NFPA 70.</w:t>
      </w:r>
    </w:p>
    <w:p w14:paraId="17C0E1E2" w14:textId="77777777" w:rsidR="00A90345" w:rsidRDefault="00A90345" w:rsidP="00A90345">
      <w:pPr>
        <w:pStyle w:val="Paragraph"/>
      </w:pPr>
      <w:r>
        <w:t>Comply with UL 1449.</w:t>
      </w:r>
    </w:p>
    <w:p w14:paraId="5DA667AD" w14:textId="77777777" w:rsidR="00A90345" w:rsidRDefault="00A90345" w:rsidP="00A90345">
      <w:pPr>
        <w:pStyle w:val="Paragraph"/>
      </w:pPr>
      <w:r>
        <w:t>MCOV of the SPD shall be the nominal system voltage.</w:t>
      </w:r>
    </w:p>
    <w:p w14:paraId="53E44A1D" w14:textId="77777777" w:rsidR="00A90345" w:rsidRPr="00267BAA" w:rsidRDefault="00A90345" w:rsidP="00080327">
      <w:pPr>
        <w:pStyle w:val="ArticleHeading"/>
      </w:pPr>
      <w:r w:rsidRPr="00267BAA">
        <w:t>service entrance and transfer</w:t>
      </w:r>
      <w:r>
        <w:t xml:space="preserve"> </w:t>
      </w:r>
      <w:r w:rsidRPr="00267BAA">
        <w:t>switch suppressor</w:t>
      </w:r>
    </w:p>
    <w:p w14:paraId="77FC1472" w14:textId="77777777" w:rsidR="00A90345" w:rsidRDefault="00A90345" w:rsidP="00A90345">
      <w:pPr>
        <w:pStyle w:val="Paragraph"/>
      </w:pPr>
      <w:r>
        <w:t>SPDs: Listed and labeled by an NRTL acceptable to authorities having jurisdiction as complying with UL 1449, Type 1.</w:t>
      </w:r>
    </w:p>
    <w:p w14:paraId="1CA9586C" w14:textId="77777777" w:rsidR="00A90345" w:rsidRDefault="00A90345" w:rsidP="00A90345">
      <w:pPr>
        <w:pStyle w:val="Paragraph"/>
      </w:pPr>
      <w:r>
        <w:t>SPDs with the following features and accessories:</w:t>
      </w:r>
    </w:p>
    <w:p w14:paraId="27B1D637" w14:textId="77777777" w:rsidR="00A90345" w:rsidRDefault="00A90345" w:rsidP="00A90345">
      <w:pPr>
        <w:pStyle w:val="Paragraph1"/>
        <w:tabs>
          <w:tab w:val="num" w:pos="1440"/>
        </w:tabs>
      </w:pPr>
      <w:r>
        <w:t>Integral disconnect switch.</w:t>
      </w:r>
    </w:p>
    <w:p w14:paraId="6C73D18C" w14:textId="77777777" w:rsidR="00A90345" w:rsidRDefault="00A90345" w:rsidP="00A90345">
      <w:pPr>
        <w:pStyle w:val="Paragraph1"/>
        <w:tabs>
          <w:tab w:val="num" w:pos="1440"/>
        </w:tabs>
      </w:pPr>
      <w:r>
        <w:t>Internal thermal protection that disconnects the SPD before damaging internal suppressor components.</w:t>
      </w:r>
    </w:p>
    <w:p w14:paraId="323AD255" w14:textId="77777777" w:rsidR="00A90345" w:rsidRDefault="00A90345" w:rsidP="00A90345">
      <w:pPr>
        <w:pStyle w:val="Paragraph1"/>
        <w:tabs>
          <w:tab w:val="num" w:pos="1440"/>
        </w:tabs>
      </w:pPr>
      <w:r>
        <w:t>Indicator light display for power and protection status.</w:t>
      </w:r>
    </w:p>
    <w:p w14:paraId="15A3E511" w14:textId="77777777" w:rsidR="00A90345" w:rsidRDefault="00A90345" w:rsidP="00A90345">
      <w:pPr>
        <w:pStyle w:val="Paragraph1"/>
        <w:tabs>
          <w:tab w:val="num" w:pos="1440"/>
        </w:tabs>
      </w:pPr>
      <w:r>
        <w:t>Form-C contacts rated at 5 A and 250-V ac, one normally open and one normally closed, for remote monitoring of protection status.  Contacts shall reverse on failure of any surge diversion module or on opening of any current-limiting device. Coordinate with building power monitoring and control system.</w:t>
      </w:r>
    </w:p>
    <w:p w14:paraId="4B977D04" w14:textId="77777777" w:rsidR="00A90345" w:rsidRDefault="00A90345" w:rsidP="00A90345">
      <w:pPr>
        <w:pStyle w:val="Paragraph1"/>
        <w:tabs>
          <w:tab w:val="num" w:pos="1440"/>
        </w:tabs>
      </w:pPr>
      <w:r>
        <w:t>Surge counter.</w:t>
      </w:r>
    </w:p>
    <w:p w14:paraId="0DA3D301" w14:textId="77777777" w:rsidR="00A90345" w:rsidRDefault="00A90345" w:rsidP="00A90345">
      <w:pPr>
        <w:pStyle w:val="Paragraph"/>
      </w:pPr>
      <w:r>
        <w:t>Comply with UL 1283.</w:t>
      </w:r>
    </w:p>
    <w:p w14:paraId="60E28AF4"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Select correct Peak Surge Current Ration from list below.</w:t>
      </w:r>
    </w:p>
    <w:p w14:paraId="6DF99851" w14:textId="77777777" w:rsidR="00A90345" w:rsidRDefault="00A90345" w:rsidP="00A90345">
      <w:pPr>
        <w:pStyle w:val="Paragraph"/>
      </w:pPr>
      <w:r w:rsidRPr="009D2153">
        <w:t xml:space="preserve">Peak Surge Current Rating: The minimum single-pulse surge current withstand rating per phase shall not be less than </w:t>
      </w:r>
      <w:r w:rsidRPr="00A0234D">
        <w:rPr>
          <w:b/>
          <w:lang w:bidi="en-US"/>
        </w:rPr>
        <w:t>[200 kA 240kA 320 kA 480 kA]</w:t>
      </w:r>
      <w:r w:rsidRPr="009D2153">
        <w:t>. The peak surge current rating shall be the arithmetic sum of the ratings of the individual MOVs in a given mode.</w:t>
      </w:r>
    </w:p>
    <w:p w14:paraId="1B5547ED"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KEEP ONE OF THE TWO PARAGRAPHS BELOW.  Select correct voltage from list below and choose correct protection mode voltage from items listed below.</w:t>
      </w:r>
    </w:p>
    <w:p w14:paraId="31B5032D" w14:textId="77777777" w:rsidR="00A90345" w:rsidRPr="00CA2A09" w:rsidRDefault="00A90345" w:rsidP="00A90345">
      <w:pPr>
        <w:pStyle w:val="Paragraph"/>
      </w:pPr>
      <w:r w:rsidRPr="00CA2A09">
        <w:t>Protection modes and UL 1449 VPR for grounded wye circuits with</w:t>
      </w:r>
      <w:r>
        <w:t xml:space="preserve"> </w:t>
      </w:r>
      <w:r w:rsidRPr="00A0234D">
        <w:rPr>
          <w:b/>
        </w:rPr>
        <w:t>[480Y/277 V 208Y/120 V]</w:t>
      </w:r>
      <w:r w:rsidRPr="00CA2A09">
        <w:t>, three-phase, four-wire circuits shall not exceed the following:</w:t>
      </w:r>
    </w:p>
    <w:p w14:paraId="0847920B" w14:textId="77777777" w:rsidR="00A90345" w:rsidRDefault="00A90345" w:rsidP="00A90345">
      <w:pPr>
        <w:pStyle w:val="Paragraph1"/>
        <w:tabs>
          <w:tab w:val="num" w:pos="1440"/>
        </w:tabs>
      </w:pPr>
      <w:r>
        <w:lastRenderedPageBreak/>
        <w:t xml:space="preserve">Line to Neutral: </w:t>
      </w:r>
      <w:r w:rsidRPr="00A0234D">
        <w:rPr>
          <w:b/>
        </w:rPr>
        <w:t>[1200 V for 480Y/277 V</w:t>
      </w:r>
      <w:r>
        <w:rPr>
          <w:b/>
        </w:rPr>
        <w:t xml:space="preserve"> </w:t>
      </w:r>
      <w:r w:rsidRPr="00A0234D">
        <w:rPr>
          <w:b/>
        </w:rPr>
        <w:t>700 V for 208Y/120 V]</w:t>
      </w:r>
      <w:r>
        <w:t>.</w:t>
      </w:r>
    </w:p>
    <w:p w14:paraId="3CBA686B" w14:textId="77777777" w:rsidR="00A90345" w:rsidRDefault="00A90345" w:rsidP="00A90345">
      <w:pPr>
        <w:pStyle w:val="Paragraph1"/>
        <w:tabs>
          <w:tab w:val="num" w:pos="1440"/>
        </w:tabs>
      </w:pPr>
      <w:r>
        <w:t xml:space="preserve">Line to Ground: </w:t>
      </w:r>
      <w:r w:rsidRPr="00A0234D">
        <w:rPr>
          <w:b/>
        </w:rPr>
        <w:t>[1200 V for 480Y/277 V 1200 V for 208Y/120 V]</w:t>
      </w:r>
      <w:r>
        <w:t>.</w:t>
      </w:r>
    </w:p>
    <w:p w14:paraId="5644A218" w14:textId="77777777" w:rsidR="00A90345" w:rsidRDefault="00A90345" w:rsidP="00A90345">
      <w:pPr>
        <w:pStyle w:val="Paragraph1"/>
        <w:tabs>
          <w:tab w:val="num" w:pos="1440"/>
        </w:tabs>
      </w:pPr>
      <w:r>
        <w:t xml:space="preserve">Line to Line: </w:t>
      </w:r>
      <w:r w:rsidRPr="00A0234D">
        <w:rPr>
          <w:b/>
        </w:rPr>
        <w:t>[</w:t>
      </w:r>
      <w:r>
        <w:rPr>
          <w:b/>
        </w:rPr>
        <w:t xml:space="preserve">2000 V for 480Y/277 V </w:t>
      </w:r>
      <w:r w:rsidRPr="00A0234D">
        <w:rPr>
          <w:b/>
        </w:rPr>
        <w:t>1000 V for 208Y/120 V]</w:t>
      </w:r>
      <w:r>
        <w:t>.</w:t>
      </w:r>
    </w:p>
    <w:p w14:paraId="220B48AA" w14:textId="77777777" w:rsidR="00A90345" w:rsidRPr="00CA2A09" w:rsidRDefault="00A90345" w:rsidP="00A90345">
      <w:pPr>
        <w:pStyle w:val="Paragraph"/>
      </w:pPr>
      <w:r w:rsidRPr="00CA2A09">
        <w:t xml:space="preserve">Protection modes and UL 1449 VPR for grounded wye circuits with </w:t>
      </w:r>
      <w:r>
        <w:t>240/120 V</w:t>
      </w:r>
      <w:r w:rsidRPr="00CA2A09">
        <w:t xml:space="preserve">, </w:t>
      </w:r>
      <w:r>
        <w:t>single</w:t>
      </w:r>
      <w:r w:rsidRPr="00CA2A09">
        <w:t xml:space="preserve">-phase, </w:t>
      </w:r>
      <w:r>
        <w:t>three</w:t>
      </w:r>
      <w:r w:rsidRPr="00CA2A09">
        <w:t>-wire circuits shall not exceed the following:</w:t>
      </w:r>
    </w:p>
    <w:p w14:paraId="25EF6259" w14:textId="77777777" w:rsidR="00A90345" w:rsidRDefault="00A90345" w:rsidP="00A90345">
      <w:pPr>
        <w:pStyle w:val="Paragraph1"/>
        <w:tabs>
          <w:tab w:val="num" w:pos="1440"/>
        </w:tabs>
      </w:pPr>
      <w:r>
        <w:t>Line to Neutral: 700 V.</w:t>
      </w:r>
    </w:p>
    <w:p w14:paraId="6B9CB9D6" w14:textId="77777777" w:rsidR="00A90345" w:rsidRDefault="00A90345" w:rsidP="00A90345">
      <w:pPr>
        <w:pStyle w:val="Paragraph1"/>
        <w:tabs>
          <w:tab w:val="num" w:pos="1440"/>
        </w:tabs>
      </w:pPr>
      <w:r>
        <w:t xml:space="preserve">Line to Ground: </w:t>
      </w:r>
      <w:r w:rsidRPr="00A0234D">
        <w:rPr>
          <w:b/>
        </w:rPr>
        <w:t>[700 V 1000 V]</w:t>
      </w:r>
      <w:r>
        <w:t>.</w:t>
      </w:r>
    </w:p>
    <w:p w14:paraId="769227D9" w14:textId="77777777" w:rsidR="00A90345" w:rsidRDefault="00A90345" w:rsidP="00A90345">
      <w:pPr>
        <w:pStyle w:val="Paragraph1"/>
        <w:tabs>
          <w:tab w:val="num" w:pos="1440"/>
        </w:tabs>
      </w:pPr>
      <w:r>
        <w:t>Line to Line: 1000 V.</w:t>
      </w:r>
    </w:p>
    <w:p w14:paraId="600F9941"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Select correct SCCR from list below.</w:t>
      </w:r>
    </w:p>
    <w:p w14:paraId="51774255" w14:textId="77777777" w:rsidR="00A90345" w:rsidRDefault="00A90345" w:rsidP="00A90345">
      <w:pPr>
        <w:pStyle w:val="Paragraph"/>
      </w:pPr>
      <w:r>
        <w:t xml:space="preserve">SCCR: Equal or exceed </w:t>
      </w:r>
      <w:r w:rsidRPr="00A0234D">
        <w:rPr>
          <w:b/>
        </w:rPr>
        <w:t>[100 kA 200 kA]</w:t>
      </w:r>
      <w:r>
        <w:t>.</w:t>
      </w:r>
    </w:p>
    <w:p w14:paraId="67388A0C" w14:textId="77777777" w:rsidR="00A90345" w:rsidRDefault="00A90345" w:rsidP="00A90345">
      <w:pPr>
        <w:pStyle w:val="Paragraph"/>
      </w:pPr>
      <w:proofErr w:type="spellStart"/>
      <w:r>
        <w:t>Inominal</w:t>
      </w:r>
      <w:proofErr w:type="spellEnd"/>
      <w:r>
        <w:t xml:space="preserve"> Rating: 20 kA.</w:t>
      </w:r>
    </w:p>
    <w:p w14:paraId="7F14E006" w14:textId="77777777" w:rsidR="00A90345" w:rsidRDefault="00A90345" w:rsidP="00080327">
      <w:pPr>
        <w:pStyle w:val="ArticleHeading"/>
      </w:pPr>
      <w:r>
        <w:t>panel suppressors</w:t>
      </w:r>
    </w:p>
    <w:p w14:paraId="5EE33512" w14:textId="77777777" w:rsidR="00A90345" w:rsidRDefault="00A90345" w:rsidP="00A90345">
      <w:pPr>
        <w:pStyle w:val="Paragraph"/>
      </w:pPr>
      <w:r>
        <w:t>SPDs: Listed and labeled by an NRTL acceptable to authorities having jurisdiction as complying with UL 1449, Type 2.</w:t>
      </w:r>
    </w:p>
    <w:p w14:paraId="4D77ED26" w14:textId="77777777" w:rsidR="00A90345" w:rsidRDefault="00A90345" w:rsidP="00A90345">
      <w:pPr>
        <w:pStyle w:val="Paragraph"/>
      </w:pPr>
      <w:r>
        <w:t>SPDs with the following features and accessories:</w:t>
      </w:r>
    </w:p>
    <w:p w14:paraId="0CD19D14" w14:textId="77777777" w:rsidR="00A90345" w:rsidRDefault="00A90345" w:rsidP="00A90345">
      <w:pPr>
        <w:pStyle w:val="Paragraph1"/>
        <w:tabs>
          <w:tab w:val="num" w:pos="1440"/>
        </w:tabs>
      </w:pPr>
      <w:r>
        <w:t>Integral disconnect switch.</w:t>
      </w:r>
    </w:p>
    <w:p w14:paraId="6083CCAC" w14:textId="77777777" w:rsidR="00A90345" w:rsidRDefault="00A90345" w:rsidP="00A90345">
      <w:pPr>
        <w:pStyle w:val="Paragraph1"/>
        <w:tabs>
          <w:tab w:val="num" w:pos="1440"/>
        </w:tabs>
      </w:pPr>
      <w:r>
        <w:t>Internal thermal protection that disconnects the SPD before damaging internal suppressor components.</w:t>
      </w:r>
    </w:p>
    <w:p w14:paraId="3B4FDC78" w14:textId="77777777" w:rsidR="00A90345" w:rsidRDefault="00A90345" w:rsidP="00A90345">
      <w:pPr>
        <w:pStyle w:val="Paragraph1"/>
        <w:tabs>
          <w:tab w:val="num" w:pos="1440"/>
        </w:tabs>
      </w:pPr>
      <w:r>
        <w:t>Indicator light display for power and protection status.</w:t>
      </w:r>
    </w:p>
    <w:p w14:paraId="01C9B659" w14:textId="77777777" w:rsidR="00A90345" w:rsidRDefault="00A90345" w:rsidP="00A90345">
      <w:pPr>
        <w:pStyle w:val="Paragraph1"/>
        <w:tabs>
          <w:tab w:val="num" w:pos="1440"/>
        </w:tabs>
      </w:pPr>
      <w:r>
        <w:t>Form-C contacts rated at 5 A and 250-V ac, one normally open and one normally closed, for remote monitoring of protection status.  Contacts shall reverse on failure of any surge diversion module or on opening of any current-limiting device. Coordinate with building power monitoring and control system.</w:t>
      </w:r>
    </w:p>
    <w:p w14:paraId="32652423" w14:textId="77777777" w:rsidR="00A90345" w:rsidRDefault="00A90345" w:rsidP="00A90345">
      <w:pPr>
        <w:pStyle w:val="Paragraph1"/>
        <w:tabs>
          <w:tab w:val="num" w:pos="1440"/>
        </w:tabs>
      </w:pPr>
      <w:r>
        <w:t>Surge counter.</w:t>
      </w:r>
    </w:p>
    <w:p w14:paraId="6D282835" w14:textId="77777777" w:rsidR="00A90345" w:rsidRDefault="00A90345" w:rsidP="00A90345">
      <w:pPr>
        <w:pStyle w:val="Paragraph"/>
      </w:pPr>
      <w:r>
        <w:t>Comply with UL 1283.</w:t>
      </w:r>
    </w:p>
    <w:p w14:paraId="389B73C3"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Insert correct Peak Surge Current Rating in lieu of (-1</w:t>
      </w:r>
      <w:proofErr w:type="gramStart"/>
      <w:r>
        <w:t>-)</w:t>
      </w:r>
      <w:proofErr w:type="gramEnd"/>
      <w:r>
        <w:t xml:space="preserve"> below.</w:t>
      </w:r>
    </w:p>
    <w:p w14:paraId="3EB4D914" w14:textId="77777777" w:rsidR="00A90345" w:rsidRDefault="00A90345" w:rsidP="00A90345">
      <w:pPr>
        <w:pStyle w:val="Paragraph"/>
      </w:pPr>
      <w:r w:rsidRPr="009D2153">
        <w:t xml:space="preserve">Peak Surge Current Rating: The minimum single-pulse surge current withstand rating per phase shall not be less than </w:t>
      </w:r>
      <w:r w:rsidRPr="00506042">
        <w:rPr>
          <w:lang w:bidi="en-US"/>
        </w:rPr>
        <w:t>(-1</w:t>
      </w:r>
      <w:proofErr w:type="gramStart"/>
      <w:r w:rsidRPr="00506042">
        <w:rPr>
          <w:lang w:bidi="en-US"/>
        </w:rPr>
        <w:t>-)</w:t>
      </w:r>
      <w:proofErr w:type="gramEnd"/>
      <w:r w:rsidRPr="009D2153">
        <w:t>. The peak surge current rating shall be the arithmetic sum of the ratings of the individual MOVs in a given mode.</w:t>
      </w:r>
    </w:p>
    <w:p w14:paraId="3AF8BAEB"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KEEP ONE OF THE TWO PARAGRAPHS BELOW.  Select correct voltage from list below and choose correct protection mode voltage from items listed below.</w:t>
      </w:r>
    </w:p>
    <w:p w14:paraId="73279D5D" w14:textId="77777777" w:rsidR="00A90345" w:rsidRPr="00CA2A09" w:rsidRDefault="00A90345" w:rsidP="00A90345">
      <w:pPr>
        <w:pStyle w:val="Paragraph"/>
      </w:pPr>
      <w:r w:rsidRPr="00CA2A09">
        <w:t>Protection modes and UL 1449 VPR for grounded wye circuits with</w:t>
      </w:r>
      <w:r>
        <w:t xml:space="preserve"> </w:t>
      </w:r>
      <w:r w:rsidRPr="00A0234D">
        <w:rPr>
          <w:b/>
        </w:rPr>
        <w:t>[480Y/277 V 208Y/120 V]</w:t>
      </w:r>
      <w:r w:rsidRPr="00CA2A09">
        <w:t>, three-phase, four-wire circuits shall not exceed the following:</w:t>
      </w:r>
    </w:p>
    <w:p w14:paraId="51CCEA60" w14:textId="77777777" w:rsidR="00A90345" w:rsidRDefault="00A90345" w:rsidP="00A90345">
      <w:pPr>
        <w:pStyle w:val="Paragraph1"/>
        <w:tabs>
          <w:tab w:val="num" w:pos="1440"/>
        </w:tabs>
      </w:pPr>
      <w:r>
        <w:t xml:space="preserve">Line to Neutral: </w:t>
      </w:r>
      <w:r w:rsidRPr="00A0234D">
        <w:rPr>
          <w:b/>
        </w:rPr>
        <w:t>[1200 V for 480Y/277 V</w:t>
      </w:r>
      <w:r>
        <w:rPr>
          <w:b/>
        </w:rPr>
        <w:t xml:space="preserve"> </w:t>
      </w:r>
      <w:r w:rsidRPr="00A0234D">
        <w:rPr>
          <w:b/>
        </w:rPr>
        <w:t>700 V for 208Y/120 V]</w:t>
      </w:r>
      <w:r>
        <w:t>.</w:t>
      </w:r>
    </w:p>
    <w:p w14:paraId="3D484CCD" w14:textId="77777777" w:rsidR="00A90345" w:rsidRDefault="00A90345" w:rsidP="00A90345">
      <w:pPr>
        <w:pStyle w:val="Paragraph1"/>
        <w:tabs>
          <w:tab w:val="num" w:pos="1440"/>
        </w:tabs>
      </w:pPr>
      <w:r>
        <w:t xml:space="preserve">Line to Ground: </w:t>
      </w:r>
      <w:r w:rsidRPr="00A0234D">
        <w:rPr>
          <w:b/>
        </w:rPr>
        <w:t>[1200 V for 480Y/277 V 1200 V for 208Y/120 V]</w:t>
      </w:r>
      <w:r>
        <w:t>.</w:t>
      </w:r>
    </w:p>
    <w:p w14:paraId="19B72BD7" w14:textId="77777777" w:rsidR="00A90345" w:rsidRDefault="00A90345" w:rsidP="00A90345">
      <w:pPr>
        <w:pStyle w:val="Paragraph1"/>
        <w:tabs>
          <w:tab w:val="num" w:pos="1440"/>
        </w:tabs>
      </w:pPr>
      <w:r>
        <w:lastRenderedPageBreak/>
        <w:t xml:space="preserve">Line to Line: </w:t>
      </w:r>
      <w:r w:rsidRPr="00A0234D">
        <w:rPr>
          <w:b/>
        </w:rPr>
        <w:t>[</w:t>
      </w:r>
      <w:r>
        <w:rPr>
          <w:b/>
        </w:rPr>
        <w:t xml:space="preserve">2000 V for 480Y/277 V </w:t>
      </w:r>
      <w:r w:rsidRPr="00A0234D">
        <w:rPr>
          <w:b/>
        </w:rPr>
        <w:t>1000 V for 208Y/120 V]</w:t>
      </w:r>
      <w:r>
        <w:t>.</w:t>
      </w:r>
    </w:p>
    <w:p w14:paraId="2319A901" w14:textId="77777777" w:rsidR="00A90345" w:rsidRPr="00CA2A09" w:rsidRDefault="00A90345" w:rsidP="00A90345">
      <w:pPr>
        <w:pStyle w:val="Paragraph"/>
      </w:pPr>
      <w:r w:rsidRPr="00CA2A09">
        <w:t xml:space="preserve">Protection modes and UL 1449 VPR for grounded wye circuits with </w:t>
      </w:r>
      <w:r>
        <w:t>240/120 V</w:t>
      </w:r>
      <w:r w:rsidRPr="00CA2A09">
        <w:t xml:space="preserve">, </w:t>
      </w:r>
      <w:r>
        <w:t>single</w:t>
      </w:r>
      <w:r w:rsidRPr="00CA2A09">
        <w:t xml:space="preserve">-phase, </w:t>
      </w:r>
      <w:r>
        <w:t>three</w:t>
      </w:r>
      <w:r w:rsidRPr="00CA2A09">
        <w:t>-wire circuits shall not exceed the following:</w:t>
      </w:r>
    </w:p>
    <w:p w14:paraId="2A75534C" w14:textId="77777777" w:rsidR="00A90345" w:rsidRDefault="00A90345" w:rsidP="00A90345">
      <w:pPr>
        <w:pStyle w:val="Paragraph1"/>
        <w:tabs>
          <w:tab w:val="num" w:pos="1440"/>
        </w:tabs>
      </w:pPr>
      <w:r>
        <w:t>Line to Neutral: 700 V.</w:t>
      </w:r>
    </w:p>
    <w:p w14:paraId="72094C78" w14:textId="77777777" w:rsidR="00A90345" w:rsidRDefault="00A90345" w:rsidP="00A90345">
      <w:pPr>
        <w:pStyle w:val="Paragraph1"/>
        <w:tabs>
          <w:tab w:val="num" w:pos="1440"/>
        </w:tabs>
      </w:pPr>
      <w:r>
        <w:t>Line to Ground: 700 V.</w:t>
      </w:r>
    </w:p>
    <w:p w14:paraId="69C78AD5" w14:textId="77777777" w:rsidR="00A90345" w:rsidRDefault="00A90345" w:rsidP="00A90345">
      <w:pPr>
        <w:pStyle w:val="Paragraph1"/>
        <w:tabs>
          <w:tab w:val="num" w:pos="1440"/>
        </w:tabs>
      </w:pPr>
      <w:r>
        <w:t>Line to Line: 1000 V.</w:t>
      </w:r>
    </w:p>
    <w:p w14:paraId="2725F528" w14:textId="77777777" w:rsidR="00A90345" w:rsidRPr="00A44D98" w:rsidRDefault="00A90345" w:rsidP="00A90345">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w:t>
      </w:r>
      <w:r>
        <w:t>Insert correct SCCR value in lieu of (-1</w:t>
      </w:r>
      <w:proofErr w:type="gramStart"/>
      <w:r>
        <w:t>-)</w:t>
      </w:r>
      <w:proofErr w:type="gramEnd"/>
      <w:r>
        <w:t xml:space="preserve"> below.</w:t>
      </w:r>
    </w:p>
    <w:p w14:paraId="763AC8F5" w14:textId="77777777" w:rsidR="00A90345" w:rsidRDefault="00A90345" w:rsidP="00A90345">
      <w:pPr>
        <w:pStyle w:val="Paragraph"/>
      </w:pPr>
      <w:r>
        <w:t>SCCR: Equal or exceed (-1</w:t>
      </w:r>
      <w:proofErr w:type="gramStart"/>
      <w:r>
        <w:t>-)</w:t>
      </w:r>
      <w:proofErr w:type="gramEnd"/>
      <w:r>
        <w:t>.</w:t>
      </w:r>
    </w:p>
    <w:p w14:paraId="483C5F81" w14:textId="77777777" w:rsidR="00A90345" w:rsidRDefault="00A90345" w:rsidP="00A90345">
      <w:pPr>
        <w:pStyle w:val="Paragraph"/>
      </w:pPr>
      <w:proofErr w:type="spellStart"/>
      <w:r>
        <w:t>Inominal</w:t>
      </w:r>
      <w:proofErr w:type="spellEnd"/>
      <w:r>
        <w:t xml:space="preserve"> Rating: 20 kA.</w:t>
      </w:r>
    </w:p>
    <w:p w14:paraId="4F28C57C" w14:textId="77777777" w:rsidR="00A90345" w:rsidRDefault="00A90345" w:rsidP="00080327">
      <w:pPr>
        <w:pStyle w:val="ArticleHeading"/>
      </w:pPr>
      <w:r>
        <w:t>Enclosures</w:t>
      </w:r>
    </w:p>
    <w:p w14:paraId="6A2CF5EB" w14:textId="77777777" w:rsidR="00A90345" w:rsidRDefault="00A90345" w:rsidP="00A90345">
      <w:pPr>
        <w:pStyle w:val="Paragraph"/>
      </w:pPr>
      <w:r w:rsidRPr="00506042">
        <w:rPr>
          <w:lang w:bidi="en-US"/>
        </w:rPr>
        <w:t>Indoor Enclosures: NEMA 250, Type 1</w:t>
      </w:r>
      <w:r>
        <w:rPr>
          <w:lang w:bidi="en-US"/>
        </w:rPr>
        <w:t>2</w:t>
      </w:r>
      <w:r w:rsidRPr="00506042">
        <w:rPr>
          <w:lang w:bidi="en-US"/>
        </w:rPr>
        <w:t>.</w:t>
      </w:r>
    </w:p>
    <w:p w14:paraId="59E32A56" w14:textId="77777777" w:rsidR="00A90345" w:rsidRDefault="00A90345" w:rsidP="00080327">
      <w:pPr>
        <w:pStyle w:val="ArticleHeading"/>
      </w:pPr>
      <w:r>
        <w:t>conductors and cables</w:t>
      </w:r>
    </w:p>
    <w:p w14:paraId="7ADC09A5" w14:textId="77777777" w:rsidR="00A90345" w:rsidRDefault="00A90345" w:rsidP="00A90345">
      <w:pPr>
        <w:pStyle w:val="Paragraph"/>
      </w:pPr>
      <w:r>
        <w:t>Power Wiring: Same size as SPD leads complying with Section 26 05 19, Low-Voltage Electrical Power Conductors and Cables.</w:t>
      </w:r>
    </w:p>
    <w:p w14:paraId="666AE810" w14:textId="77777777" w:rsidR="00A90345" w:rsidRDefault="00A90345" w:rsidP="00A90345">
      <w:pPr>
        <w:pStyle w:val="Paragraph1"/>
        <w:tabs>
          <w:tab w:val="num" w:pos="1440"/>
        </w:tabs>
      </w:pPr>
      <w:r>
        <w:t>External SPDs:</w:t>
      </w:r>
    </w:p>
    <w:p w14:paraId="2E55A806" w14:textId="77777777" w:rsidR="00A90345" w:rsidRDefault="00A90345" w:rsidP="00A90345">
      <w:pPr>
        <w:pStyle w:val="Subparagrapha"/>
        <w:tabs>
          <w:tab w:val="clear" w:pos="432"/>
          <w:tab w:val="num" w:pos="1872"/>
        </w:tabs>
        <w:ind w:left="1872"/>
      </w:pPr>
      <w:r>
        <w:t>Contractor shall not exceed manufacturer’s recommended maximum length of cabling.</w:t>
      </w:r>
    </w:p>
    <w:p w14:paraId="271BAB79" w14:textId="77777777" w:rsidR="00A90345" w:rsidRDefault="00A90345" w:rsidP="00A90345">
      <w:pPr>
        <w:pStyle w:val="Subparagrapha"/>
        <w:tabs>
          <w:tab w:val="clear" w:pos="432"/>
          <w:tab w:val="num" w:pos="1872"/>
        </w:tabs>
        <w:ind w:left="1872"/>
      </w:pPr>
      <w:r>
        <w:t>Contractor shall consult with Engineer for all cable installations longer than manufacturer’s recommended maximum length.</w:t>
      </w:r>
    </w:p>
    <w:p w14:paraId="6B8E0AC2" w14:textId="77777777" w:rsidR="00A90345" w:rsidRDefault="00A90345" w:rsidP="00A90345">
      <w:pPr>
        <w:pStyle w:val="Paragraph"/>
      </w:pPr>
      <w:r>
        <w:t>Class 2 Control Cables: Multi-conductor cable with copper conductors not smaller than No. 18 AWG, complying with Section 26 05 19, Low-Voltage Electrical Power Conductors and Cables.</w:t>
      </w:r>
    </w:p>
    <w:p w14:paraId="433FB175" w14:textId="77777777" w:rsidR="00A90345" w:rsidRPr="00267BAA" w:rsidRDefault="00A90345" w:rsidP="00A90345">
      <w:pPr>
        <w:pStyle w:val="Paragraph"/>
      </w:pPr>
      <w:r>
        <w:t>Class 1 Control Cables: Multi-conductor cable with copper conductors not smaller than No. 14 AWG, complying with Section 26 05 19, Low-Voltage Electrical Power Conductors and Cables.</w:t>
      </w:r>
    </w:p>
    <w:p w14:paraId="7D87AE71" w14:textId="77777777" w:rsidR="00A90345" w:rsidRPr="00A44D98" w:rsidRDefault="00A90345" w:rsidP="00A90345">
      <w:pPr>
        <w:pStyle w:val="PartDesignation"/>
        <w:ind w:left="0"/>
      </w:pPr>
      <w:bookmarkStart w:id="9" w:name="1._Cooper_Bussmann,_Inc._(Eaton_Corp._El"/>
      <w:bookmarkStart w:id="10" w:name="B._The_listing_of_specific_manufacturers"/>
      <w:bookmarkStart w:id="11" w:name="PART_3_-__EXECUTION"/>
      <w:bookmarkStart w:id="12" w:name="3.1_EXAMINATION"/>
      <w:bookmarkEnd w:id="9"/>
      <w:bookmarkEnd w:id="10"/>
      <w:bookmarkEnd w:id="11"/>
      <w:bookmarkEnd w:id="12"/>
      <w:r w:rsidRPr="00A44D98">
        <w:t>EXECUTION</w:t>
      </w:r>
    </w:p>
    <w:p w14:paraId="593C1631" w14:textId="77777777" w:rsidR="00A90345" w:rsidRDefault="00A90345" w:rsidP="00080327">
      <w:pPr>
        <w:pStyle w:val="ArticleHeading"/>
      </w:pPr>
      <w:r>
        <w:t>Installation</w:t>
      </w:r>
    </w:p>
    <w:p w14:paraId="712C3A47" w14:textId="77777777" w:rsidR="00A90345" w:rsidRDefault="00A90345" w:rsidP="00A90345">
      <w:pPr>
        <w:pStyle w:val="Paragraph"/>
      </w:pPr>
      <w:r>
        <w:t>Comply with NECA 1.</w:t>
      </w:r>
    </w:p>
    <w:p w14:paraId="48C4A5E3" w14:textId="77777777" w:rsidR="00A90345" w:rsidRDefault="00A90345" w:rsidP="00A90345">
      <w:pPr>
        <w:pStyle w:val="Paragraph"/>
      </w:pPr>
      <w:r>
        <w:t>Install an OCPD or disconnect as required to comply with the UL listing of the SPD.</w:t>
      </w:r>
    </w:p>
    <w:p w14:paraId="3B1CC51D" w14:textId="77777777" w:rsidR="00A90345" w:rsidRDefault="00A90345" w:rsidP="00A90345">
      <w:pPr>
        <w:pStyle w:val="Paragraph"/>
      </w:pPr>
      <w:r>
        <w:t>Install SPDs with conductors between suppressor and points of attachment as short and straight as possible, and adjust circuit-breaker positions to achieve shortest and straightest leads.</w:t>
      </w:r>
    </w:p>
    <w:p w14:paraId="59C2C698" w14:textId="77777777" w:rsidR="00A90345" w:rsidRDefault="00A90345" w:rsidP="00A90345">
      <w:pPr>
        <w:pStyle w:val="Paragraph1"/>
        <w:tabs>
          <w:tab w:val="num" w:pos="1440"/>
        </w:tabs>
      </w:pPr>
      <w:r>
        <w:lastRenderedPageBreak/>
        <w:t>Do not splice and extend SPD leads unless specifically permitted by manufacturer.</w:t>
      </w:r>
    </w:p>
    <w:p w14:paraId="2049A5FD" w14:textId="77777777" w:rsidR="00A90345" w:rsidRDefault="00A90345" w:rsidP="00A90345">
      <w:pPr>
        <w:pStyle w:val="Paragraph1"/>
        <w:tabs>
          <w:tab w:val="num" w:pos="1440"/>
        </w:tabs>
      </w:pPr>
      <w:r>
        <w:t>Do not exceed manufacturer's recommended lead length.</w:t>
      </w:r>
    </w:p>
    <w:p w14:paraId="44719C8C" w14:textId="77777777" w:rsidR="00A90345" w:rsidRDefault="00A90345" w:rsidP="00A90345">
      <w:pPr>
        <w:pStyle w:val="Paragraph1"/>
        <w:tabs>
          <w:tab w:val="num" w:pos="1440"/>
        </w:tabs>
      </w:pPr>
      <w:r>
        <w:t>Do not bond neutral and ground.</w:t>
      </w:r>
    </w:p>
    <w:p w14:paraId="558F8531" w14:textId="77777777" w:rsidR="00A90345" w:rsidRDefault="00A90345" w:rsidP="00A90345">
      <w:pPr>
        <w:pStyle w:val="Paragraph"/>
      </w:pPr>
      <w:r>
        <w:t>Use crimped connectors and splices only. Wire nuts are unacceptable.</w:t>
      </w:r>
    </w:p>
    <w:p w14:paraId="7DF59CF0" w14:textId="77777777" w:rsidR="00A90345" w:rsidRDefault="00A90345" w:rsidP="00A90345">
      <w:pPr>
        <w:pStyle w:val="Paragraph"/>
      </w:pPr>
      <w:r>
        <w:t>Wiring:</w:t>
      </w:r>
    </w:p>
    <w:p w14:paraId="529291DB" w14:textId="77777777" w:rsidR="00A90345" w:rsidRDefault="00A90345" w:rsidP="00A90345">
      <w:pPr>
        <w:pStyle w:val="Paragraph1"/>
        <w:tabs>
          <w:tab w:val="num" w:pos="1440"/>
        </w:tabs>
      </w:pPr>
      <w:r>
        <w:t>Power Wiring: Comply with wiring methods in Section 26 05 19, Low-Voltage Electrical Power Conductors and Cables.</w:t>
      </w:r>
    </w:p>
    <w:p w14:paraId="5BF26356" w14:textId="77777777" w:rsidR="00A90345" w:rsidRDefault="00A90345" w:rsidP="00A90345">
      <w:pPr>
        <w:pStyle w:val="Paragraph1"/>
        <w:tabs>
          <w:tab w:val="num" w:pos="1440"/>
        </w:tabs>
      </w:pPr>
      <w:r>
        <w:t>Controls: Comply with wiring methods in Section 26 05 19, Low-Voltage Electrical Power Conductors and Cables.</w:t>
      </w:r>
    </w:p>
    <w:p w14:paraId="7CD9BFD7" w14:textId="77777777" w:rsidR="00A90345" w:rsidRDefault="00A90345" w:rsidP="00080327">
      <w:pPr>
        <w:pStyle w:val="ArticleHeading"/>
      </w:pPr>
      <w:r>
        <w:t>field quality control</w:t>
      </w:r>
    </w:p>
    <w:p w14:paraId="48A1A6FF" w14:textId="77777777" w:rsidR="00A90345" w:rsidRDefault="00A90345" w:rsidP="00A90345">
      <w:pPr>
        <w:pStyle w:val="Paragraph"/>
      </w:pPr>
      <w:r>
        <w:t>Perform the following tests and inspections with the assistance of a factory-authorized service representative.</w:t>
      </w:r>
    </w:p>
    <w:p w14:paraId="7C906345" w14:textId="77777777" w:rsidR="00A90345" w:rsidRDefault="00A90345" w:rsidP="00A90345">
      <w:pPr>
        <w:pStyle w:val="Paragraph1"/>
        <w:tabs>
          <w:tab w:val="num" w:pos="1440"/>
        </w:tabs>
      </w:pPr>
      <w:r>
        <w:t>Compare equipment nameplate data for compliance with Drawings and Specifications.</w:t>
      </w:r>
    </w:p>
    <w:p w14:paraId="4A3D37B7" w14:textId="77777777" w:rsidR="00A90345" w:rsidRDefault="00A90345" w:rsidP="00A90345">
      <w:pPr>
        <w:pStyle w:val="Paragraph1"/>
        <w:tabs>
          <w:tab w:val="num" w:pos="1440"/>
        </w:tabs>
      </w:pPr>
      <w:r>
        <w:t>Inspect anchorage, alignment, grounding, and clearances.</w:t>
      </w:r>
    </w:p>
    <w:p w14:paraId="298F45AB" w14:textId="77777777" w:rsidR="00A90345" w:rsidRDefault="00A90345" w:rsidP="00A90345">
      <w:pPr>
        <w:pStyle w:val="Paragraph1"/>
        <w:tabs>
          <w:tab w:val="num" w:pos="1440"/>
        </w:tabs>
      </w:pPr>
      <w:r>
        <w:t>Verify that electrical wiring installation complies with manufacturer's written installation requirements.</w:t>
      </w:r>
    </w:p>
    <w:p w14:paraId="787070F5" w14:textId="77777777" w:rsidR="00A90345" w:rsidRDefault="00A90345" w:rsidP="00A90345">
      <w:pPr>
        <w:pStyle w:val="Paragraph"/>
      </w:pPr>
      <w:r>
        <w:t>An SPD will be considered defective if it does not pass tests and inspections.</w:t>
      </w:r>
    </w:p>
    <w:p w14:paraId="0CAA5DEB" w14:textId="77777777" w:rsidR="00A90345" w:rsidRDefault="00A90345" w:rsidP="00A90345">
      <w:pPr>
        <w:pStyle w:val="Paragraph"/>
      </w:pPr>
      <w:r>
        <w:t>Prepare test and inspection reports.</w:t>
      </w:r>
    </w:p>
    <w:p w14:paraId="7EE1BE09" w14:textId="77777777" w:rsidR="00A90345" w:rsidRDefault="00A90345" w:rsidP="00080327">
      <w:pPr>
        <w:pStyle w:val="ArticleHeading"/>
      </w:pPr>
      <w:r>
        <w:t>startup service</w:t>
      </w:r>
    </w:p>
    <w:p w14:paraId="35444BEB" w14:textId="77777777" w:rsidR="00A90345" w:rsidRDefault="00A90345" w:rsidP="00A90345">
      <w:pPr>
        <w:pStyle w:val="Paragraph"/>
      </w:pPr>
      <w:r>
        <w:t>Complete startup checks according to manufacturer's written instructions.</w:t>
      </w:r>
    </w:p>
    <w:p w14:paraId="18213863" w14:textId="77777777" w:rsidR="00A90345" w:rsidRDefault="00A90345" w:rsidP="00A90345">
      <w:pPr>
        <w:pStyle w:val="Paragraph"/>
      </w:pPr>
      <w:r>
        <w:t>Do not perform insulation-resistance tests of the distribution wiring equipment with SPDs installed. Disconnect SPDs before conducting insulation-resistance tests, and reconnect them immediately after the testing is over.</w:t>
      </w:r>
    </w:p>
    <w:p w14:paraId="4D7CE26A" w14:textId="77777777" w:rsidR="00A90345" w:rsidRDefault="00A90345" w:rsidP="00A90345">
      <w:pPr>
        <w:pStyle w:val="Paragraph"/>
      </w:pPr>
      <w:r>
        <w:t>Energize SPDs after power system has been energized, stabilized, and tested.</w:t>
      </w:r>
    </w:p>
    <w:p w14:paraId="4B06DC0B" w14:textId="77777777" w:rsidR="00A90345" w:rsidRDefault="00A90345" w:rsidP="00080327">
      <w:pPr>
        <w:pStyle w:val="ArticleHeading"/>
      </w:pPr>
      <w:r>
        <w:t>demonstration</w:t>
      </w:r>
    </w:p>
    <w:p w14:paraId="61345C2C" w14:textId="77777777" w:rsidR="00A90345" w:rsidRPr="00A44D98" w:rsidRDefault="00A90345" w:rsidP="00A90345">
      <w:pPr>
        <w:pStyle w:val="Paragraph"/>
      </w:pPr>
      <w:r>
        <w:t>Train Owner’s maintenance personnel to operate and maintain SPDs.</w:t>
      </w:r>
    </w:p>
    <w:p w14:paraId="30C0FD72" w14:textId="77777777" w:rsidR="00A90345" w:rsidRDefault="00A90345" w:rsidP="00A90345">
      <w:pPr>
        <w:tabs>
          <w:tab w:val="left" w:pos="245"/>
          <w:tab w:val="left" w:pos="720"/>
          <w:tab w:val="left" w:pos="1267"/>
          <w:tab w:val="left" w:pos="1800"/>
          <w:tab w:val="left" w:pos="2074"/>
          <w:tab w:val="left" w:pos="2520"/>
        </w:tabs>
        <w:jc w:val="center"/>
      </w:pPr>
      <w:bookmarkStart w:id="13" w:name="A._Examine_fuses_before_installation.__R"/>
      <w:bookmarkEnd w:id="13"/>
    </w:p>
    <w:p w14:paraId="76C7C2BF" w14:textId="77777777" w:rsidR="00A90345" w:rsidRPr="00A44D98" w:rsidRDefault="00A90345" w:rsidP="00A90345">
      <w:pPr>
        <w:tabs>
          <w:tab w:val="left" w:pos="245"/>
          <w:tab w:val="left" w:pos="720"/>
          <w:tab w:val="left" w:pos="1267"/>
          <w:tab w:val="left" w:pos="1800"/>
          <w:tab w:val="left" w:pos="2074"/>
          <w:tab w:val="left" w:pos="2520"/>
        </w:tabs>
        <w:jc w:val="center"/>
      </w:pPr>
      <w:r w:rsidRPr="00A44D98">
        <w:t>+ + END OF SECTION + +</w:t>
      </w:r>
    </w:p>
    <w:p w14:paraId="10C23100" w14:textId="6D6DA4D6" w:rsidR="00ED49FD" w:rsidRPr="00A90345" w:rsidRDefault="00ED49FD" w:rsidP="00A90345"/>
    <w:sectPr w:rsidR="00ED49FD" w:rsidRPr="00A90345" w:rsidSect="00D65AC1">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D7248" w14:textId="77777777" w:rsidR="00A95C46" w:rsidRDefault="00A95C46">
      <w:r>
        <w:separator/>
      </w:r>
    </w:p>
  </w:endnote>
  <w:endnote w:type="continuationSeparator" w:id="0">
    <w:p w14:paraId="022C7BE2" w14:textId="77777777" w:rsidR="00A95C46" w:rsidRDefault="00A9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C924" w14:textId="77777777" w:rsidR="00EF66B4" w:rsidRPr="00227D90" w:rsidRDefault="00EF66B4"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Lawns and Grasses</w:t>
    </w:r>
    <w:r w:rsidRPr="00227D90">
      <w:rPr>
        <w:sz w:val="22"/>
        <w:szCs w:val="22"/>
      </w:rPr>
      <w:t xml:space="preserve"> – </w:t>
    </w:r>
    <w:r>
      <w:rPr>
        <w:sz w:val="22"/>
        <w:szCs w:val="22"/>
      </w:rPr>
      <w:t>32 92</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65AC1">
      <w:rPr>
        <w:noProof/>
        <w:sz w:val="22"/>
        <w:szCs w:val="22"/>
      </w:rPr>
      <w:t>10</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8127" w14:textId="3E77E36F" w:rsidR="00EF66B4" w:rsidRPr="00227D90" w:rsidRDefault="00EF66B4">
    <w:pPr>
      <w:pStyle w:val="Footer"/>
      <w:rPr>
        <w:sz w:val="22"/>
        <w:szCs w:val="22"/>
      </w:rPr>
    </w:pPr>
    <w:r w:rsidRPr="00227D90">
      <w:rPr>
        <w:sz w:val="22"/>
        <w:szCs w:val="22"/>
      </w:rPr>
      <w:t xml:space="preserve">v. </w:t>
    </w:r>
    <w:r w:rsidR="008C17C9">
      <w:rPr>
        <w:sz w:val="22"/>
        <w:szCs w:val="22"/>
      </w:rPr>
      <w:t>11</w:t>
    </w:r>
    <w:r w:rsidR="00005FC8">
      <w:rPr>
        <w:sz w:val="22"/>
        <w:szCs w:val="22"/>
      </w:rPr>
      <w:t>.</w:t>
    </w:r>
    <w:r w:rsidR="008C17C9">
      <w:rPr>
        <w:sz w:val="22"/>
        <w:szCs w:val="22"/>
      </w:rPr>
      <w:t>18</w:t>
    </w:r>
    <w:r w:rsidRPr="00227D90">
      <w:rPr>
        <w:sz w:val="22"/>
        <w:szCs w:val="22"/>
      </w:rPr>
      <w:tab/>
    </w:r>
    <w:r w:rsidR="00A90345">
      <w:rPr>
        <w:sz w:val="22"/>
        <w:szCs w:val="22"/>
      </w:rPr>
      <w:t>Surge Protection Devices</w:t>
    </w:r>
    <w:r w:rsidRPr="00227D90">
      <w:rPr>
        <w:sz w:val="22"/>
        <w:szCs w:val="22"/>
      </w:rPr>
      <w:t xml:space="preserve"> – </w:t>
    </w:r>
    <w:r w:rsidR="00A90345">
      <w:rPr>
        <w:sz w:val="22"/>
        <w:szCs w:val="22"/>
      </w:rPr>
      <w:t>26 43 13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E0CA4">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3ED04" w14:textId="77777777" w:rsidR="00A95C46" w:rsidRDefault="00A95C46">
      <w:r>
        <w:separator/>
      </w:r>
    </w:p>
  </w:footnote>
  <w:footnote w:type="continuationSeparator" w:id="0">
    <w:p w14:paraId="288C2A25" w14:textId="77777777" w:rsidR="00A95C46" w:rsidRDefault="00A9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D92796"/>
    <w:multiLevelType w:val="hybridMultilevel"/>
    <w:tmpl w:val="C3529C7E"/>
    <w:lvl w:ilvl="0" w:tplc="FDC62974">
      <w:start w:val="4"/>
      <w:numFmt w:val="decimal"/>
      <w:lvlText w:val="%1."/>
      <w:lvlJc w:val="left"/>
      <w:pPr>
        <w:ind w:left="1987" w:hanging="360"/>
      </w:pPr>
      <w:rPr>
        <w:rFonts w:cs="Times New Roman" w:hint="default"/>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11">
    <w:nsid w:val="2C986F6E"/>
    <w:multiLevelType w:val="multilevel"/>
    <w:tmpl w:val="5A06FA08"/>
    <w:lvl w:ilvl="0">
      <w:start w:val="1"/>
      <w:numFmt w:val="decimal"/>
      <w:pStyle w:val="PartDesignation"/>
      <w:suff w:val="space"/>
      <w:lvlText w:val="PART %1"/>
      <w:lvlJc w:val="left"/>
      <w:pPr>
        <w:ind w:left="90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ascii="Times New Roman" w:eastAsia="Times New Roman" w:hAnsi="Times New Roman" w:cs="Times New Roman"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432"/>
        </w:tabs>
        <w:ind w:left="43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AD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4E4C"/>
    <w:rsid w:val="00005FC8"/>
    <w:rsid w:val="00017984"/>
    <w:rsid w:val="00023A01"/>
    <w:rsid w:val="000337F1"/>
    <w:rsid w:val="00080327"/>
    <w:rsid w:val="00086B2E"/>
    <w:rsid w:val="000D5648"/>
    <w:rsid w:val="000E3BCB"/>
    <w:rsid w:val="00124710"/>
    <w:rsid w:val="001B6F65"/>
    <w:rsid w:val="00205A26"/>
    <w:rsid w:val="002262C5"/>
    <w:rsid w:val="00227D90"/>
    <w:rsid w:val="00266071"/>
    <w:rsid w:val="002B2FE4"/>
    <w:rsid w:val="002D1C18"/>
    <w:rsid w:val="002E0449"/>
    <w:rsid w:val="002E0CA4"/>
    <w:rsid w:val="002F7D32"/>
    <w:rsid w:val="003520B8"/>
    <w:rsid w:val="00401362"/>
    <w:rsid w:val="004063C7"/>
    <w:rsid w:val="0041371C"/>
    <w:rsid w:val="00421C0A"/>
    <w:rsid w:val="00433F7E"/>
    <w:rsid w:val="00442BE6"/>
    <w:rsid w:val="00445A5A"/>
    <w:rsid w:val="00451B32"/>
    <w:rsid w:val="004622F1"/>
    <w:rsid w:val="0048478F"/>
    <w:rsid w:val="004878CE"/>
    <w:rsid w:val="004D77E5"/>
    <w:rsid w:val="004F694C"/>
    <w:rsid w:val="005772E3"/>
    <w:rsid w:val="005F25FF"/>
    <w:rsid w:val="005F60CD"/>
    <w:rsid w:val="00614FAB"/>
    <w:rsid w:val="006A5987"/>
    <w:rsid w:val="0072287D"/>
    <w:rsid w:val="00727B9E"/>
    <w:rsid w:val="00745138"/>
    <w:rsid w:val="00782E2C"/>
    <w:rsid w:val="007F439C"/>
    <w:rsid w:val="00814647"/>
    <w:rsid w:val="00864BEE"/>
    <w:rsid w:val="00884065"/>
    <w:rsid w:val="0089231D"/>
    <w:rsid w:val="008A11A8"/>
    <w:rsid w:val="008A22A6"/>
    <w:rsid w:val="008C17C9"/>
    <w:rsid w:val="008D6EC1"/>
    <w:rsid w:val="008F400C"/>
    <w:rsid w:val="008F6F43"/>
    <w:rsid w:val="00936317"/>
    <w:rsid w:val="00950897"/>
    <w:rsid w:val="00952C4C"/>
    <w:rsid w:val="00966BB0"/>
    <w:rsid w:val="009C5C29"/>
    <w:rsid w:val="00A90345"/>
    <w:rsid w:val="00A92EAF"/>
    <w:rsid w:val="00A95C46"/>
    <w:rsid w:val="00AB092D"/>
    <w:rsid w:val="00AC39C8"/>
    <w:rsid w:val="00AD60D0"/>
    <w:rsid w:val="00B603ED"/>
    <w:rsid w:val="00BD4AE0"/>
    <w:rsid w:val="00BF6073"/>
    <w:rsid w:val="00C1211E"/>
    <w:rsid w:val="00C15E0A"/>
    <w:rsid w:val="00C825A0"/>
    <w:rsid w:val="00C8573A"/>
    <w:rsid w:val="00CE09DE"/>
    <w:rsid w:val="00CF6336"/>
    <w:rsid w:val="00D11CAC"/>
    <w:rsid w:val="00D30DB7"/>
    <w:rsid w:val="00D31522"/>
    <w:rsid w:val="00D65AC1"/>
    <w:rsid w:val="00DB2029"/>
    <w:rsid w:val="00DC725E"/>
    <w:rsid w:val="00DF0D83"/>
    <w:rsid w:val="00E32E41"/>
    <w:rsid w:val="00E5014A"/>
    <w:rsid w:val="00E56014"/>
    <w:rsid w:val="00E7379B"/>
    <w:rsid w:val="00EB0E5F"/>
    <w:rsid w:val="00EB3353"/>
    <w:rsid w:val="00ED49FD"/>
    <w:rsid w:val="00EE73D5"/>
    <w:rsid w:val="00EE79AB"/>
    <w:rsid w:val="00EF3A47"/>
    <w:rsid w:val="00EF66B4"/>
    <w:rsid w:val="00F663B7"/>
    <w:rsid w:val="00F709CA"/>
    <w:rsid w:val="00F8618D"/>
    <w:rsid w:val="00F959B4"/>
    <w:rsid w:val="00FB3CC5"/>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rsid w:val="00080327"/>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rsid w:val="00080327"/>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0</TotalTime>
  <Pages>7</Pages>
  <Words>1899</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32 92 00</vt:lpstr>
    </vt:vector>
  </TitlesOfParts>
  <Manager>Candy Jo Galindo</Manager>
  <Company>ARCADIS Giffels</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32 92 00</dc:title>
  <dc:subject>Lawns and Grasses</dc:subject>
  <dc:creator>KEB</dc:creator>
  <cp:keywords>000000000000 (00)</cp:keywords>
  <cp:lastModifiedBy>Stephen R Williams</cp:lastModifiedBy>
  <cp:revision>3</cp:revision>
  <cp:lastPrinted>2012-10-22T14:01:00Z</cp:lastPrinted>
  <dcterms:created xsi:type="dcterms:W3CDTF">2018-11-14T13:49:00Z</dcterms:created>
  <dcterms:modified xsi:type="dcterms:W3CDTF">2018-11-14T13:57:00Z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